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9" w:lineRule="auto"/>
      </w:pPr>
      <w:r>
        <w:rPr>
          <w:b/>
          <w:sz w:val="40"/>
        </w:rPr>
        <w:t>Adrabetadex ARM Training Guide (Index)</w:t>
      </w:r>
    </w:p>
    <w:p>
      <w:pPr>
        <w:spacing w:after="80" w:line="269" w:lineRule="auto"/>
      </w:pPr>
      <w:r>
        <w:t>This guide has been split into shorter field-usable documents to improve clarity and reduce duplication.</w:t>
      </w:r>
    </w:p>
    <w:p>
      <w:pPr>
        <w:spacing w:after="80" w:line="269" w:lineRule="auto"/>
      </w:pPr>
      <w:r>
        <w:t>Use the following training modules in sequence:</w:t>
      </w:r>
    </w:p>
    <w:p>
      <w:pPr>
        <w:pStyle w:val="ListNumber"/>
        <w:spacing w:after="80" w:line="269" w:lineRule="auto"/>
      </w:pPr>
      <w:r>
        <w:t>1) Adrabetadex_04_ARM_Training_Module_A_Claim_Pathway_and_Coding.docx</w:t>
      </w:r>
    </w:p>
    <w:p>
      <w:pPr>
        <w:pStyle w:val="ListNumber"/>
        <w:spacing w:after="80" w:line="269" w:lineRule="auto"/>
      </w:pPr>
      <w:r>
        <w:t>2) Adrabetadex_05_ARM_Training_Module_B_Payer_and_Operational_Readiness.docx</w:t>
      </w:r>
    </w:p>
    <w:p>
      <w:pPr>
        <w:pStyle w:val="ListNumber"/>
        <w:spacing w:after="80" w:line="269" w:lineRule="auto"/>
      </w:pPr>
      <w:r>
        <w:t>3) Adrabetadex_06_ARM_Training_Module_C_Provider_Economics_and_Field_Conversation_Flow.docx</w:t>
      </w:r>
    </w:p>
    <w:p>
      <w:pPr>
        <w:spacing w:after="80" w:line="269" w:lineRule="auto"/>
      </w:pPr>
      <w:r>
        <w:t>Core references to use with all modules:</w:t>
      </w:r>
    </w:p>
    <w:p>
      <w:pPr>
        <w:pStyle w:val="ListBullet"/>
        <w:spacing w:after="80" w:line="269" w:lineRule="auto"/>
      </w:pPr>
      <w:r>
        <w:t>Adrabetadex_02_Provider_Billing_Code_Reference.docx</w:t>
      </w:r>
    </w:p>
    <w:p>
      <w:pPr>
        <w:pStyle w:val="ListBullet"/>
        <w:spacing w:after="80" w:line="269" w:lineRule="auto"/>
      </w:pPr>
      <w:r>
        <w:t>Adrabetadex_03_ARM_Billing_Code_Reference.docx</w:t>
      </w:r>
    </w:p>
    <w:p>
      <w:pPr>
        <w:pStyle w:val="ListBullet"/>
        <w:spacing w:after="80" w:line="269" w:lineRule="auto"/>
      </w:pPr>
      <w:r>
        <w:t>docs/arm/claim-form-materials/*</w:t>
      </w:r>
    </w:p>
    <w:p>
      <w:pPr>
        <w:spacing w:after="80" w:line="269" w:lineRule="auto"/>
      </w:pPr>
      <w:r>
        <w:t>Compliance boundary: These materials are education and claim-pathway alignment tools. Final coding and claim submission decisions remain with provider coding/compliance/revenue-cycle teams and payer/MAC guidance.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