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7B71" w14:textId="77777777" w:rsidR="0027634F" w:rsidRPr="0027634F" w:rsidRDefault="0027634F" w:rsidP="0027634F">
      <w:pPr>
        <w:spacing w:after="80" w:line="269" w:lineRule="auto"/>
        <w:outlineLvl w:val="0"/>
        <w:rPr>
          <w:rFonts w:ascii="Times New Roman" w:eastAsia="Times New Roman" w:hAnsi="Times New Roman" w:cs="Times New Roman"/>
          <w:b/>
          <w:bCs/>
          <w:kern w:val="36"/>
          <w:sz w:val="48"/>
          <w:szCs w:val="48"/>
          <w14:ligatures w14:val="none"/>
        </w:rPr>
      </w:pPr>
      <w:r w:rsidRPr="0027634F">
        <w:rPr>
          <w:rFonts w:ascii="Times New Roman" w:eastAsia="Times New Roman" w:hAnsi="Times New Roman" w:cs="Times New Roman"/>
          <w:b/>
          <w:bCs/>
          <w:kern w:val="36"/>
          <w:sz w:val="48"/>
          <w:szCs w:val="48"/>
          <w14:ligatures w14:val="none"/>
        </w:rPr>
        <w:t>Adrabetadex ARM Training Fact Matrix</w:t>
      </w:r>
    </w:p>
    <w:p w14:paraId="39F694E3"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t>Working Frame and Master Assumption Source</w:t>
      </w:r>
    </w:p>
    <w:p w14:paraId="43BAA573"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t>This matrix is the master assumptions source for the Adrabetadex ARM package. Downstream materials should align to this matrix and avoid duplicating assumption logic unless operational detail is needed.</w:t>
      </w:r>
    </w:p>
    <w:p w14:paraId="6A6A1693"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Launch WAC:</w:t>
      </w:r>
      <w:r w:rsidRPr="0027634F">
        <w:rPr>
          <w:rFonts w:ascii="Times New Roman" w:eastAsia="Times New Roman" w:hAnsi="Times New Roman" w:cs="Times New Roman"/>
          <w:kern w:val="0"/>
          <w14:ligatures w14:val="none"/>
        </w:rPr>
        <w:t xml:space="preserve"> $39,000 per 900 mg vial</w:t>
      </w:r>
    </w:p>
    <w:p w14:paraId="02F0F187"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Dosing:</w:t>
      </w:r>
      <w:r w:rsidRPr="0027634F">
        <w:rPr>
          <w:rFonts w:ascii="Times New Roman" w:eastAsia="Times New Roman" w:hAnsi="Times New Roman" w:cs="Times New Roman"/>
          <w:kern w:val="0"/>
          <w14:ligatures w14:val="none"/>
        </w:rPr>
        <w:t xml:space="preserve"> every two weeks</w:t>
      </w:r>
    </w:p>
    <w:p w14:paraId="706E7FA3"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Annual gross WAC exposure:</w:t>
      </w:r>
      <w:r w:rsidRPr="0027634F">
        <w:rPr>
          <w:rFonts w:ascii="Times New Roman" w:eastAsia="Times New Roman" w:hAnsi="Times New Roman" w:cs="Times New Roman"/>
          <w:kern w:val="0"/>
          <w14:ligatures w14:val="none"/>
        </w:rPr>
        <w:t xml:space="preserve"> $1,014,000 per patient</w:t>
      </w:r>
    </w:p>
    <w:p w14:paraId="5A2387E0"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Pre-ASP period:</w:t>
      </w:r>
      <w:r w:rsidRPr="0027634F">
        <w:rPr>
          <w:rFonts w:ascii="Times New Roman" w:eastAsia="Times New Roman" w:hAnsi="Times New Roman" w:cs="Times New Roman"/>
          <w:kern w:val="0"/>
          <w14:ligatures w14:val="none"/>
        </w:rPr>
        <w:t xml:space="preserve"> approximately first two quarters after launch</w:t>
      </w:r>
    </w:p>
    <w:p w14:paraId="2020904B"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OPPS pass-through effective date:</w:t>
      </w:r>
      <w:r w:rsidRPr="0027634F">
        <w:rPr>
          <w:rFonts w:ascii="Times New Roman" w:eastAsia="Times New Roman" w:hAnsi="Times New Roman" w:cs="Times New Roman"/>
          <w:kern w:val="0"/>
          <w14:ligatures w14:val="none"/>
        </w:rPr>
        <w:t xml:space="preserve"> January 1, 2027</w:t>
      </w:r>
    </w:p>
    <w:p w14:paraId="1C4C40A6"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Permanent HCPCS effective date:</w:t>
      </w:r>
      <w:r w:rsidRPr="0027634F">
        <w:rPr>
          <w:rFonts w:ascii="Times New Roman" w:eastAsia="Times New Roman" w:hAnsi="Times New Roman" w:cs="Times New Roman"/>
          <w:kern w:val="0"/>
          <w14:ligatures w14:val="none"/>
        </w:rPr>
        <w:t xml:space="preserve"> April 1, 2027</w:t>
      </w:r>
    </w:p>
    <w:p w14:paraId="3458EB02"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Primary customers:</w:t>
      </w:r>
      <w:r w:rsidRPr="0027634F">
        <w:rPr>
          <w:rFonts w:ascii="Times New Roman" w:eastAsia="Times New Roman" w:hAnsi="Times New Roman" w:cs="Times New Roman"/>
          <w:kern w:val="0"/>
          <w14:ligatures w14:val="none"/>
        </w:rPr>
        <w:t xml:space="preserve"> centers of excellence</w:t>
      </w:r>
    </w:p>
    <w:p w14:paraId="523C893C"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340B status:</w:t>
      </w:r>
      <w:r w:rsidRPr="0027634F">
        <w:rPr>
          <w:rFonts w:ascii="Times New Roman" w:eastAsia="Times New Roman" w:hAnsi="Times New Roman" w:cs="Times New Roman"/>
          <w:kern w:val="0"/>
          <w14:ligatures w14:val="none"/>
        </w:rPr>
        <w:t xml:space="preserve"> assume target COEs are 340B entities</w:t>
      </w:r>
    </w:p>
    <w:p w14:paraId="7769B702"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Commercial friction:</w:t>
      </w:r>
      <w:r w:rsidRPr="0027634F">
        <w:rPr>
          <w:rFonts w:ascii="Times New Roman" w:eastAsia="Times New Roman" w:hAnsi="Times New Roman" w:cs="Times New Roman"/>
          <w:kern w:val="0"/>
          <w14:ligatures w14:val="none"/>
        </w:rPr>
        <w:t xml:space="preserve"> valid and expected, but mitigated through Beren-provided ARM and patient-access tools</w:t>
      </w:r>
    </w:p>
    <w:p w14:paraId="2D9EBD5E" w14:textId="77777777" w:rsidR="0027634F" w:rsidRPr="0027634F" w:rsidRDefault="0027634F" w:rsidP="0027634F">
      <w:pPr>
        <w:numPr>
          <w:ilvl w:val="0"/>
          <w:numId w:val="1"/>
        </w:numPr>
        <w:spacing w:after="80" w:line="269" w:lineRule="auto"/>
        <w:rPr>
          <w:rFonts w:ascii="Times New Roman" w:eastAsia="Times New Roman" w:hAnsi="Times New Roman" w:cs="Times New Roman"/>
          <w:kern w:val="0"/>
          <w14:ligatures w14:val="none"/>
        </w:rPr>
      </w:pPr>
      <w:r>
        <w:t>Core value story: scenario-specific economics with a COE-led 340B default and non-340B sensitivity analysis.</w:t>
      </w:r>
    </w:p>
    <w:p>
      <w:pPr>
        <w:spacing w:after="80" w:line="269" w:lineRule="auto"/>
      </w:pPr>
      <w:r>
        <w:t>Master Assumption Register and Status Labels</w:t>
      </w:r>
    </w:p>
    <w:p>
      <w:pPr>
        <w:spacing w:after="80" w:line="269" w:lineRule="auto"/>
      </w:pPr>
      <w:r>
        <w:t>Status labels: Confirmed/supplied assumption; Planning assumption; Modeling assumption; External validation needed.</w:t>
      </w:r>
    </w:p>
    <w:tbl>
      <w:tblPr>
        <w:tblW w:type="pct" w:w="5000"/>
        <w:jc w:val="center"/>
        <w:tblLook w:firstColumn="1" w:firstRow="1" w:lastColumn="0" w:lastRow="0" w:noHBand="0" w:noVBand="1" w:val="04A0"/>
      </w:tblPr>
      <w:tblGrid>
        <w:gridCol w:w="2340"/>
        <w:gridCol w:w="2340"/>
        <w:gridCol w:w="2340"/>
        <w:gridCol w:w="2340"/>
      </w:tblGrid>
      <w:tr>
        <w:tc>
          <w:tcPr>
            <w:tcW w:type="dxa" w:w="2340"/>
            <w:vAlign w:val="top"/>
            <w:tcMar>
              <w:top w:w="90" w:type="dxa"/>
              <w:bottom w:w="90" w:type="dxa"/>
              <w:start w:w="110" w:type="dxa"/>
              <w:end w:w="110" w:type="dxa"/>
            </w:tcMar>
          </w:tcPr>
          <w:p>
            <w:pPr>
              <w:spacing w:before="0" w:after="40" w:line="259" w:lineRule="auto"/>
            </w:pPr>
            <w:r>
              <w:rPr>
                <w:rFonts w:ascii="Calibri" w:hAnsi="Calibri"/>
                <w:b/>
                <w:sz w:val="20"/>
              </w:rPr>
              <w:t>Assumption ID</w:t>
            </w:r>
          </w:p>
        </w:tc>
        <w:tc>
          <w:tcPr>
            <w:tcW w:type="dxa" w:w="2340"/>
            <w:vAlign w:val="top"/>
            <w:tcMar>
              <w:top w:w="90" w:type="dxa"/>
              <w:bottom w:w="90" w:type="dxa"/>
              <w:start w:w="110" w:type="dxa"/>
              <w:end w:w="110" w:type="dxa"/>
            </w:tcMar>
          </w:tcPr>
          <w:p>
            <w:pPr>
              <w:spacing w:before="0" w:after="40" w:line="259" w:lineRule="auto"/>
            </w:pPr>
            <w:r>
              <w:rPr>
                <w:rFonts w:ascii="Calibri" w:hAnsi="Calibri"/>
                <w:b/>
                <w:sz w:val="20"/>
              </w:rPr>
              <w:t>Assumption</w:t>
            </w:r>
          </w:p>
        </w:tc>
        <w:tc>
          <w:tcPr>
            <w:tcW w:type="dxa" w:w="2340"/>
            <w:vAlign w:val="top"/>
            <w:tcMar>
              <w:top w:w="90" w:type="dxa"/>
              <w:bottom w:w="90" w:type="dxa"/>
              <w:start w:w="110" w:type="dxa"/>
              <w:end w:w="110" w:type="dxa"/>
            </w:tcMar>
          </w:tcPr>
          <w:p>
            <w:pPr>
              <w:spacing w:before="0" w:after="40" w:line="259" w:lineRule="auto"/>
            </w:pPr>
            <w:r>
              <w:rPr>
                <w:rFonts w:ascii="Calibri" w:hAnsi="Calibri"/>
                <w:b/>
                <w:sz w:val="20"/>
              </w:rPr>
              <w:t>Status Label</w:t>
            </w:r>
          </w:p>
        </w:tc>
        <w:tc>
          <w:tcPr>
            <w:tcW w:type="dxa" w:w="2340"/>
            <w:vAlign w:val="top"/>
            <w:tcMar>
              <w:top w:w="90" w:type="dxa"/>
              <w:bottom w:w="90" w:type="dxa"/>
              <w:start w:w="110" w:type="dxa"/>
              <w:end w:w="110" w:type="dxa"/>
            </w:tcMar>
          </w:tcPr>
          <w:p>
            <w:pPr>
              <w:spacing w:before="0" w:after="40" w:line="259" w:lineRule="auto"/>
            </w:pPr>
            <w:r>
              <w:rPr>
                <w:rFonts w:ascii="Calibri" w:hAnsi="Calibri"/>
                <w:b/>
                <w:sz w:val="20"/>
              </w:rPr>
              <w:t>Primary Use</w:t>
            </w:r>
          </w:p>
        </w:tc>
      </w:tr>
      <w:tr>
        <w:tc>
          <w:tcPr>
            <w:tcW w:type="dxa" w:w="2340"/>
            <w:vAlign w:val="top"/>
            <w:tcMar>
              <w:top w:w="90" w:type="dxa"/>
              <w:bottom w:w="90" w:type="dxa"/>
              <w:start w:w="110" w:type="dxa"/>
              <w:end w:w="110" w:type="dxa"/>
            </w:tcMar>
          </w:tcPr>
          <w:p>
            <w:pPr>
              <w:spacing w:before="0" w:after="40" w:line="259" w:lineRule="auto"/>
            </w:pPr>
            <w:r>
              <w:rPr>
                <w:rFonts w:ascii="Calibri" w:hAnsi="Calibri"/>
                <w:sz w:val="20"/>
              </w:rPr>
              <w:t>A1</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Launch WAC is $39,000 per 900 mg vial with every-two-week dosing and annual gross WAC exposure of $1,014,000.</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Confirmed/supplied assumption</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Training baseline and calculator anchor</w:t>
            </w:r>
          </w:p>
        </w:tc>
      </w:tr>
      <w:tr>
        <w:tc>
          <w:tcPr>
            <w:tcW w:type="dxa" w:w="2340"/>
            <w:vAlign w:val="top"/>
            <w:tcMar>
              <w:top w:w="90" w:type="dxa"/>
              <w:bottom w:w="90" w:type="dxa"/>
              <w:start w:w="110" w:type="dxa"/>
              <w:end w:w="110" w:type="dxa"/>
            </w:tcMar>
          </w:tcPr>
          <w:p>
            <w:pPr>
              <w:spacing w:before="0" w:after="40" w:line="259" w:lineRule="auto"/>
            </w:pPr>
            <w:r>
              <w:rPr>
                <w:rFonts w:ascii="Calibri" w:hAnsi="Calibri"/>
                <w:sz w:val="20"/>
              </w:rPr>
              <w:t>A2</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PDUFA planning date is August 17, 2026; OPPS pass-through target date is January 1, 2027 if granted; permanent HCPCS target date is April 1, 2027 if assigned.</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Planning assumption</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Timeline planning across all materials</w:t>
            </w:r>
          </w:p>
        </w:tc>
      </w:tr>
      <w:tr>
        <w:tc>
          <w:tcPr>
            <w:tcW w:type="dxa" w:w="2340"/>
            <w:vAlign w:val="top"/>
            <w:tcMar>
              <w:top w:w="90" w:type="dxa"/>
              <w:bottom w:w="90" w:type="dxa"/>
              <w:start w:w="110" w:type="dxa"/>
              <w:end w:w="110" w:type="dxa"/>
            </w:tcMar>
          </w:tcPr>
          <w:p>
            <w:pPr>
              <w:spacing w:before="0" w:after="40" w:line="259" w:lineRule="auto"/>
            </w:pPr>
            <w:r>
              <w:rPr>
                <w:rFonts w:ascii="Calibri" w:hAnsi="Calibri"/>
                <w:sz w:val="20"/>
              </w:rPr>
              <w:t>A3</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Primary launch customers are COE and pediatric specialty hospitals with a default 340B profile.</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Planning assumption</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Default scenario selection and ARM talk track</w:t>
            </w:r>
          </w:p>
        </w:tc>
      </w:tr>
      <w:tr>
        <w:tc>
          <w:tcPr>
            <w:tcW w:type="dxa" w:w="2340"/>
            <w:vAlign w:val="top"/>
            <w:tcMar>
              <w:top w:w="90" w:type="dxa"/>
              <w:bottom w:w="90" w:type="dxa"/>
              <w:start w:w="110" w:type="dxa"/>
              <w:end w:w="110" w:type="dxa"/>
            </w:tcMar>
          </w:tcPr>
          <w:p>
            <w:pPr>
              <w:spacing w:before="0" w:after="40" w:line="259" w:lineRule="auto"/>
            </w:pPr>
            <w:r>
              <w:rPr>
                <w:rFonts w:ascii="Calibri" w:hAnsi="Calibri"/>
                <w:sz w:val="20"/>
              </w:rPr>
              <w:t>A4</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Non-340B cases remain sensitivity scenarios and should not be the default value story.</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Modeling assumption</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Sensitivity views in calculator and training</w:t>
            </w:r>
          </w:p>
        </w:tc>
      </w:tr>
      <w:tr>
        <w:tc>
          <w:tcPr>
            <w:tcW w:type="dxa" w:w="2340"/>
            <w:vAlign w:val="top"/>
            <w:tcMar>
              <w:top w:w="90" w:type="dxa"/>
              <w:bottom w:w="90" w:type="dxa"/>
              <w:start w:w="110" w:type="dxa"/>
              <w:end w:w="110" w:type="dxa"/>
            </w:tcMar>
          </w:tcPr>
          <w:p>
            <w:pPr>
              <w:spacing w:before="0" w:after="40" w:line="259" w:lineRule="auto"/>
            </w:pPr>
            <w:r>
              <w:rPr>
                <w:rFonts w:ascii="Calibri" w:hAnsi="Calibri"/>
                <w:sz w:val="20"/>
              </w:rPr>
              <w:t>A5</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Interim coding pathways (for example C9399/J3490/J3590) and modifier use are payer-specific and institution-specific.</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External validation needed</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Billing reference flags and claim verification prompts</w:t>
            </w:r>
          </w:p>
        </w:tc>
      </w:tr>
      <w:tr>
        <w:tc>
          <w:tcPr>
            <w:tcW w:type="dxa" w:w="2340"/>
            <w:vAlign w:val="top"/>
            <w:tcMar>
              <w:top w:w="90" w:type="dxa"/>
              <w:bottom w:w="90" w:type="dxa"/>
              <w:start w:w="110" w:type="dxa"/>
              <w:end w:w="110" w:type="dxa"/>
            </w:tcMar>
          </w:tcPr>
          <w:p>
            <w:pPr>
              <w:spacing w:before="0" w:after="40" w:line="259" w:lineRule="auto"/>
            </w:pPr>
            <w:r>
              <w:rPr>
                <w:rFonts w:ascii="Calibri" w:hAnsi="Calibri"/>
                <w:sz w:val="20"/>
              </w:rPr>
              <w:t>A6</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Commercial friction (PA, site-of-care edits, specialty pharmacy sourcing, denial/rework risk) is expected and mitigated through Beren tools.</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Confirmed/supplied assumption</w:t>
            </w:r>
          </w:p>
        </w:tc>
        <w:tc>
          <w:tcPr>
            <w:tcW w:type="dxa" w:w="2340"/>
            <w:vAlign w:val="top"/>
            <w:tcMar>
              <w:top w:w="90" w:type="dxa"/>
              <w:bottom w:w="90" w:type="dxa"/>
              <w:start w:w="110" w:type="dxa"/>
              <w:end w:w="110" w:type="dxa"/>
            </w:tcMar>
          </w:tcPr>
          <w:p>
            <w:pPr>
              <w:spacing w:before="0" w:after="40" w:line="259" w:lineRule="auto"/>
            </w:pPr>
            <w:r>
              <w:rPr>
                <w:rFonts w:ascii="Calibri" w:hAnsi="Calibri"/>
                <w:sz w:val="20"/>
              </w:rPr>
              <w:t>ARM execution plan and objection handling</w:t>
            </w:r>
          </w:p>
        </w:tc>
      </w:tr>
    </w:tbl>
    <w:p w14:paraId="3DD3795E"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168DD8">
          <v:rect id="_x0000_i1036" alt="" style="width:468pt;height:.05pt;mso-width-percent:0;mso-height-percent:0;mso-width-percent:0;mso-height-percent:0" o:hralign="center" o:hrstd="t" o:hr="t" fillcolor="#a0a0a0" stroked="f"/>
        </w:pict>
      </w:r>
    </w:p>
    <w:p w14:paraId="74E3EA28"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 Core Product and Launch Facts</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69"/>
        <w:gridCol w:w="2325"/>
        <w:gridCol w:w="3699"/>
        <w:gridCol w:w="1751"/>
      </w:tblGrid>
      <w:tr w:rsidR="0027634F" w:rsidRPr="0027634F" w14:paraId="585317F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69AE6A8"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Topic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F8FAB0C"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Fact / Assumption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5A1DA68"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Training Implication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D448299"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Calculator Treatment</w:t>
            </w:r>
          </w:p>
        </w:tc>
      </w:tr>
      <w:tr w:rsidR="0027634F" w:rsidRPr="0027634F" w14:paraId="1AE440D5"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6CB96F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Product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B6BE7C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Adrabetadex</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5A6EFB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Clinician-administered, rare-disease therapy requiring specialty-center readiness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4825E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Fixed product</w:t>
            </w:r>
          </w:p>
        </w:tc>
      </w:tr>
      <w:tr w:rsidR="0027634F" w:rsidRPr="0027634F" w14:paraId="0B2BC23A"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197DA5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Indication focus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9A0D0F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Infantile-onset Niemann-Pick disease type 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97E646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Launch volume is concentrated, not broad retail or community-office utilization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DDE1C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Fixed launch population</w:t>
            </w:r>
          </w:p>
        </w:tc>
      </w:tr>
      <w:tr w:rsidR="0027634F" w:rsidRPr="0027634F" w14:paraId="6FD4E11B"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8C6D54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PDUFA / approval planning date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EF0029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August 17, 2026</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89F5A5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Approval timing drives pass-through and HCPCS sequencing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45A1B4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Fixed date</w:t>
            </w:r>
          </w:p>
        </w:tc>
      </w:tr>
      <w:tr w:rsidR="0027634F" w:rsidRPr="0027634F" w14:paraId="704A2484"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4CCCE1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Target treatment model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00BC10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Pediatric specialty hospitals and centers of excellence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DF997A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Training should focus on institutional reimbursement, not broad office-based selling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B3C385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Default site type = COE / HOPD</w:t>
            </w:r>
          </w:p>
        </w:tc>
      </w:tr>
      <w:tr w:rsidR="0027634F" w:rsidRPr="0027634F" w14:paraId="24FCBC4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767BDA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Target site economics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1E3D0D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Target COEs are 340B entities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BCF96C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Value story should center on 340B acquisition advantage plus outpatient payment visibility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5D845D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Default 340B = Yes</w:t>
            </w:r>
          </w:p>
        </w:tc>
      </w:tr>
      <w:tr w:rsidR="0027634F" w:rsidRPr="0027634F" w14:paraId="1838C1A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ECEA6F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Clinical value frame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8E8F32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Survival and functional preservation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BC5F93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Supports medical necessity and access case, but does not replace reimbursement execution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4F5793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Narrative support, not a formula input</w:t>
            </w:r>
          </w:p>
        </w:tc>
      </w:tr>
    </w:tbl>
    <w:p w14:paraId="5468CDE6"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current combined brief already frames the launch as concentrated in pediatric specialty hospitals and centers of excellence, and it states that WAC is $39,000 per 900 mg vial dosed every two weeks, producing $1,014,000 in annual gross drug exposure before administration cost or denied claims.  </w:t>
      </w:r>
    </w:p>
    <w:p w14:paraId="53AFC1ED"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CBB8F1">
          <v:rect id="_x0000_i1035" alt="" style="width:468pt;height:.05pt;mso-width-percent:0;mso-height-percent:0;mso-width-percent:0;mso-height-percent:0" o:hralign="center" o:hrstd="t" o:hr="t" fillcolor="#a0a0a0" stroked="f"/>
        </w:pict>
      </w:r>
    </w:p>
    <w:p w14:paraId="18AF84FB"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2. Dosing and Cost Exposure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91"/>
        <w:gridCol w:w="1162"/>
        <w:gridCol w:w="1496"/>
        <w:gridCol w:w="3695"/>
      </w:tblGrid>
      <w:tr w:rsidR="0027634F" w:rsidRPr="0027634F" w14:paraId="7AC00AA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08D4988"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Item</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74AB0A8"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Value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7681D76"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Calculation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03EF815"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Meaning</w:t>
            </w:r>
          </w:p>
        </w:tc>
      </w:tr>
      <w:tr w:rsidR="0027634F" w:rsidRPr="0027634F" w14:paraId="24FB6E4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4659E6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WAC per vial / administration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979D6D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$39,000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234BE2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Fixed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6F4D7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Core acquisition exposure per treatment</w:t>
            </w:r>
          </w:p>
        </w:tc>
      </w:tr>
      <w:tr w:rsidR="0027634F" w:rsidRPr="0027634F" w14:paraId="2C0444CE"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CC34FE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Dosing frequency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BDDE34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Every 2 weeks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A66079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Fixed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73F21E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26 administrations per year</w:t>
            </w:r>
          </w:p>
        </w:tc>
      </w:tr>
      <w:tr w:rsidR="0027634F" w:rsidRPr="0027634F" w14:paraId="016F407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AD05AE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63CB92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26</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298919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52 weeks / 2</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21742E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Recurring high-dollar exposure</w:t>
            </w:r>
          </w:p>
        </w:tc>
      </w:tr>
      <w:tr w:rsidR="0027634F" w:rsidRPr="0027634F" w14:paraId="45554EB1"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409AC5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Annual WAC exposure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225508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$1,014,000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8F6F5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$39,000 × 26</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5AE934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Baseline gross drug exposure</w:t>
            </w:r>
          </w:p>
        </w:tc>
      </w:tr>
      <w:tr w:rsidR="0027634F" w:rsidRPr="0027634F" w14:paraId="3B17FD3C"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4B8C56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Two-quarter administrations before ASP</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F7ABA5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13</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24C84D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26 / 2</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C90D3B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Pre-ASP exposure period</w:t>
            </w:r>
          </w:p>
        </w:tc>
      </w:tr>
      <w:tr w:rsidR="0027634F" w:rsidRPr="0027634F" w14:paraId="593C5564"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25ABF2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Two-quarter WAC exposure before ASP</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E63817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$507,000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A6ADE0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$39,000 × 13</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0D512B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Inventory/payment exposure before ASP benchmark matures</w:t>
            </w:r>
          </w:p>
        </w:tc>
      </w:tr>
      <w:tr w:rsidR="0027634F" w:rsidRPr="0027634F" w14:paraId="042A9CA7"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AA4C5C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Initial-sales Medicare benchmark</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E44451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$40,170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C1AC56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$39,000 × 103%</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A135ED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Pre-ASP benchmark reference</w:t>
            </w:r>
          </w:p>
        </w:tc>
      </w:tr>
      <w:tr w:rsidR="0027634F" w:rsidRPr="0027634F" w14:paraId="39292431"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1C862C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Two-quarter benchmark reimbursement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F8210E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$522,210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BD073E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$40,170 × 13</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6FBE91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Reimbursement benchmark before labor, denial, and delay</w:t>
            </w:r>
          </w:p>
        </w:tc>
      </w:tr>
      <w:tr w:rsidR="0027634F" w:rsidRPr="0027634F" w14:paraId="7A02BFA3"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A5E3EB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Two-quarter gross spread before operating costs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9A022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$15,210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B5140B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$522,210 - $507,000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72BE52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Thin gross spread if not using 340B economics</w:t>
            </w:r>
          </w:p>
        </w:tc>
      </w:tr>
    </w:tbl>
    <w:p w14:paraId="567ED270"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provider model uses $39,000 per 900 mg vial every two weeks, $1,014,000 per patient-year, and a $40,170 launch-period benchmark based on 103% of WAC before ASP is available.  </w:t>
      </w:r>
    </w:p>
    <w:p w14:paraId="5A5C070D"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sidRPr="005162B5">
        <w:rPr>
          <w:rFonts w:ascii="Times New Roman" w:eastAsia="Times New Roman" w:hAnsi="Times New Roman" w:cs="Times New Roman"/>
          <w:noProof/>
          <w:kern w:val="0"/>
        </w:rPr>
        <w:pict w14:anchorId="26C4FE28">
          <v:rect id="_x0000_i1034" alt="" style="width:468pt;height:.05pt;mso-width-percent:0;mso-height-percent:0;mso-width-percent:0;mso-height-percent:0" o:hralign="center" o:hrstd="t" o:hr="t" fillcolor="#a0a0a0" stroked="f"/>
        </w:pict>
      </w:r>
    </w:p>
    <w:p w14:paraId="17875AF0"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3. Site-of-Care and Customer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69"/>
        <w:gridCol w:w="1790"/>
        <w:gridCol w:w="3804"/>
        <w:gridCol w:w="2481"/>
      </w:tblGrid>
      <w:tr w:rsidR="0027634F" w:rsidRPr="0027634F" w14:paraId="57CF881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EB85B2A"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Site / Customer Type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18E3A04"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Operating Fact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8548A8A"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Why It Matters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E5396DE"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Message</w:t>
            </w:r>
          </w:p>
        </w:tc>
      </w:tr>
      <w:tr w:rsidR="0027634F" w:rsidRPr="0027634F" w14:paraId="4CCA8A2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FA55C4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Centers of excellence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5D131C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Primary target customers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56EBAE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Patients, specialists, pharmacy infrastructure, and rare-disease billing expertise are concentrated here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404876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“Adrabetadex launch will be COE-led.”</w:t>
            </w:r>
          </w:p>
        </w:tc>
      </w:tr>
      <w:tr w:rsidR="0027634F" w:rsidRPr="0027634F" w14:paraId="10FE8F7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123B67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Pediatric specialty hospitals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21ADB9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Expected core site type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B667E0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More likely to manage intrathecal administration, pediatric Medicaid, and rare-disease prior authorization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5FDB46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“The right sites already have much of the clinical infrastructure.”</w:t>
            </w:r>
          </w:p>
        </w:tc>
      </w:tr>
      <w:tr w:rsidR="0027634F" w:rsidRPr="0027634F" w14:paraId="163ECE58"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0D1822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340B hospitals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079AF3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Assume all primary COEs are 340B entities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7437D3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340B acquisition changes provider economics materially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3267AB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“The site’s 340B status is central to the value story.”</w:t>
            </w:r>
          </w:p>
        </w:tc>
      </w:tr>
      <w:tr w:rsidR="0027634F" w:rsidRPr="0027634F" w14:paraId="325C18C3"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27ED63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Non-340B community sites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6ECEA6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Not the core first-wave target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9EA276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Prior model showed fragile or negative economics outside 340B</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6F64FB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“Non-340B logic is secondary for this ARM training version.”</w:t>
            </w:r>
          </w:p>
        </w:tc>
      </w:tr>
      <w:tr w:rsidR="0027634F" w:rsidRPr="0027634F" w14:paraId="7715B75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22EB40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Physician office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4BE2DF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Not primary model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EF53A8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May matter for coding education, but not the core economic pathway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0D283C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“Keep as background, not the main value story.”</w:t>
            </w:r>
          </w:p>
        </w:tc>
      </w:tr>
    </w:tbl>
    <w:p w14:paraId="17267259"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existing model shows 340B pediatric COE economics as structurally advantaged, with acquisition of $29,991, modeled margin of $9,043 per administration, and annualized margin of $235,115, while non-340B commercial and Medicaid cases are near break-even or negative.  </w:t>
      </w:r>
    </w:p>
    <w:p w14:paraId="38FD8498"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C91C08">
          <v:rect id="_x0000_i1033" alt="" style="width:468pt;height:.05pt;mso-width-percent:0;mso-height-percent:0;mso-width-percent:0;mso-height-percent:0" o:hralign="center" o:hrstd="t" o:hr="t" fillcolor="#a0a0a0" stroked="f"/>
        </w:pict>
      </w:r>
    </w:p>
    <w:p w14:paraId="70D480E6"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4. 340B Economics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31"/>
        <w:gridCol w:w="1751"/>
        <w:gridCol w:w="1018"/>
        <w:gridCol w:w="3069"/>
        <w:gridCol w:w="1375"/>
      </w:tblGrid>
      <w:tr w:rsidR="0027634F" w:rsidRPr="0027634F" w14:paraId="004FB48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361F4E9"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340B Item</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FFD6422"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Fact / Assumption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6F77638"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Value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E7F2493"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Implication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EAAFA42"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Calculator Treatment</w:t>
            </w:r>
          </w:p>
        </w:tc>
      </w:tr>
      <w:tr w:rsidR="0027634F" w:rsidRPr="0027634F" w14:paraId="799D2771"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CD974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Target site 340B status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632534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COEs are assumed to be 340B entities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3B14E4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Yes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415E57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Default customer economics should be modeled as 340B, not as non-340B</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71206D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Default = 340B</w:t>
            </w:r>
          </w:p>
        </w:tc>
      </w:tr>
      <w:tr w:rsidR="0027634F" w:rsidRPr="0027634F" w14:paraId="2FFC4BBE"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CFF02E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WAC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E1E29B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Launch WAC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632F8E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$39,000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C83317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Acquisition reference point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00EB9D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Fixed</w:t>
            </w:r>
          </w:p>
        </w:tc>
      </w:tr>
      <w:tr w:rsidR="0027634F" w:rsidRPr="0027634F" w14:paraId="3F9770C9"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CF27B4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Estimated 340B acquisition, primary assumption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D7163E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WAC less 23.1% estimate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211BB6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$29,991</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D4E4FD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Creates major spread advantage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0595ED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Default 340B acquisition</w:t>
            </w:r>
          </w:p>
        </w:tc>
      </w:tr>
      <w:tr w:rsidR="0027634F" w:rsidRPr="0027634F" w14:paraId="0A6C0456"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FCEA85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Estimated 340B acquisition, sensitivity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61CB28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WAC less 17.1% estimate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5F8A86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$32,331</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F60367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Shows sensitivity if pediatric rebate category differs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916CAB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Sensitivity toggle</w:t>
            </w:r>
          </w:p>
        </w:tc>
      </w:tr>
      <w:tr w:rsidR="0027634F" w:rsidRPr="0027634F" w14:paraId="5E892621"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CEF04A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Acquisition advantage vs WAC, 23.1% case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89230F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$39,000 - $29,991</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B6E4E4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$9,009 per dose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1BDB0A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Explains why 340B is the main site value lever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52E5BE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Display prominently</w:t>
            </w:r>
          </w:p>
        </w:tc>
      </w:tr>
      <w:tr w:rsidR="0027634F" w:rsidRPr="0027634F" w14:paraId="10D859B9"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E889F1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Annual acquisition advantage, 23.1% case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A4B62A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$9,009 × 26</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913CCA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$234,234 per year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79FCAE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Converts 340B into an annual site-level economics story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839149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Display as annualized value</w:t>
            </w:r>
          </w:p>
        </w:tc>
      </w:tr>
      <w:tr w:rsidR="0027634F" w:rsidRPr="0027634F" w14:paraId="45044733"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6F6D8C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Two-quarter acquisition advantage, 23.1% case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6E6806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$9,009 × 13</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3D9389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$117,117</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F5D3A7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Shows pre-ASP / early launch value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698F53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Display for launch bridge</w:t>
            </w:r>
          </w:p>
        </w:tc>
      </w:tr>
    </w:tbl>
    <w:p w14:paraId="502C51E8"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combined brief identifies estimated 340B acquisition at $29,991 under the 23.1% URA assumption and $32,331 under the 17.1% URA assumption, and it states that 340B participation fundamentally changes the provider result.  </w:t>
      </w:r>
    </w:p>
    <w:p w14:paraId="4F4F1E14"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E011DC">
          <v:rect id="_x0000_i1032" alt="" style="width:468pt;height:.05pt;mso-width-percent:0;mso-height-percent:0;mso-width-percent:0;mso-height-percent:0" o:hralign="center" o:hrstd="t" o:hr="t" fillcolor="#a0a0a0" stroked="f"/>
        </w:pict>
      </w:r>
    </w:p>
    <w:p w14:paraId="2941B537"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5. Coding and Payment Timing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97"/>
        <w:gridCol w:w="2381"/>
        <w:gridCol w:w="1543"/>
        <w:gridCol w:w="2110"/>
        <w:gridCol w:w="2013"/>
      </w:tblGrid>
      <w:tr w:rsidR="0027634F" w:rsidRPr="0027634F" w14:paraId="74D88D7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8D1D18D"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Workstream</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460EE82"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Operating Fact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5AAB45D"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Date / Timing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0D62408"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What ARMs Need to Know</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231355A"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Training Message</w:t>
            </w:r>
          </w:p>
        </w:tc>
      </w:tr>
      <w:tr w:rsidR="0027634F" w:rsidRPr="0027634F" w14:paraId="096C6FC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2B905C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FDA approval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F1F3F1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Approval gates commercial billing and pass-through package completion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CC43E1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August 17, 2026</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F8F691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Approval letter and final label are needed for CMS processes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BBFD57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“Approval starts the reimbursement clock.”</w:t>
            </w:r>
          </w:p>
        </w:tc>
      </w:tr>
      <w:tr w:rsidR="0027634F" w:rsidRPr="0027634F" w14:paraId="7F80AF9E"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009C8D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Launch coding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26AB0E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Product-specific HCPCS not active at approval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2107A3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August 2026 launch window</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D2E291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Interim billing is required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EEC04C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“Early claims need clean interim coding support.”</w:t>
            </w:r>
          </w:p>
        </w:tc>
      </w:tr>
      <w:tr w:rsidR="0027634F" w:rsidRPr="0027634F" w14:paraId="3DF60AB8"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6DE325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Interim hospital outpatient coding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53EFE4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C9399 or NOC pathway may be used depending on setting and payer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CAD406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Approval to permanent-code effective date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D8DB1F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Requires NDC, dosage, narrative, and clean documentation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FF17A8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“Billing guide must be ready before first commercial dose.”</w:t>
            </w:r>
          </w:p>
        </w:tc>
      </w:tr>
      <w:tr w:rsidR="0027634F" w:rsidRPr="0027634F" w14:paraId="1A317656"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3061CD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OPPS pass-through</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C8D68C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Separate from permanent HCPCS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7FA749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Effective January 1, 2027</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E58735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Provides near-term HOPD payment support and predictability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24DB55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“Pass-through is the outpatient payment bridge.”</w:t>
            </w:r>
          </w:p>
        </w:tc>
      </w:tr>
      <w:tr w:rsidR="0027634F" w:rsidRPr="0027634F" w14:paraId="241598E3"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695848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Permanent HCPCS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10A0D3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Product-specific permanent code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9AA505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Effective April 1, 2027</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5D93DD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Improves claim clarity and reduces miscellaneous-code friction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A268DA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“Permanent HCPCS is the clean-code endpoint.”</w:t>
            </w:r>
          </w:p>
        </w:tc>
      </w:tr>
      <w:tr w:rsidR="0027634F" w:rsidRPr="0027634F" w14:paraId="083E7CB9"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B97060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ASP availability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BCFBC1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Not available at launch</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B6EE3E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After sufficient sales/reporting lag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82A7EF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Pre-ASP payment uses WAC-based benchmark</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156C13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“Before ASP, WAC is the benchmark anchor.”</w:t>
            </w:r>
          </w:p>
        </w:tc>
      </w:tr>
    </w:tbl>
    <w:p w14:paraId="60438BB7"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coding brief states that with a supplied August 17, 2026 PDUFA date, the first full quarterly coding window after approval is October 1, 2026, targeting an April 1, 2027 effective date for a permanent product-specific HCPCS code. It also states that a September 1, 2026 pass-through filing can target a January 1, 2027 effective date.  </w:t>
      </w:r>
    </w:p>
    <w:p w14:paraId="1A53C266"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24D008">
          <v:rect id="_x0000_i1031" alt="" style="width:468pt;height:.05pt;mso-width-percent:0;mso-height-percent:0;mso-width-percent:0;mso-height-percent:0" o:hralign="center" o:hrstd="t" o:hr="t" fillcolor="#a0a0a0" stroked="f"/>
        </w:pict>
      </w:r>
    </w:p>
    <w:p w14:paraId="1A559182"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6. Launch Period Timeline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11"/>
        <w:gridCol w:w="1887"/>
        <w:gridCol w:w="2289"/>
        <w:gridCol w:w="2737"/>
        <w:gridCol w:w="1120"/>
      </w:tblGrid>
      <w:tr w:rsidR="0027634F" w:rsidRPr="0027634F" w14:paraId="3850532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FBBE285"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Period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5EDEE4B"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Dates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3DB9540"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Coding / Payment State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9F9A892"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Training Focus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9C4A73A"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Calculator Mode</w:t>
            </w:r>
          </w:p>
        </w:tc>
      </w:tr>
      <w:tr w:rsidR="0027634F" w:rsidRPr="0027634F" w14:paraId="0A6BA872"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C920AE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Launch to year-end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9B8372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Aug. 17, 2026 to Dec. 31, 2026</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B29804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FDA-approved, no permanent HCPCS, pre-pass-through, pre-ASP</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22C0AB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Interim billing, documentation, NDC capture, prior authorization tools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EA3511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Launch bridge mode</w:t>
            </w:r>
          </w:p>
        </w:tc>
      </w:tr>
      <w:tr w:rsidR="0027634F" w:rsidRPr="0027634F" w14:paraId="25BE64AF"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F29DED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Pass-through active, pre-HCPCS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456347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Jan. 1, 2027 to Mar. 31, 2027</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A26D38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OPPS pass-through active, permanent HCPCS not yet active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E8EB5C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HOPD payment predictability improves, but interim coding still matters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3E00F7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Pass-through bridge mode</w:t>
            </w:r>
          </w:p>
        </w:tc>
      </w:tr>
      <w:tr w:rsidR="0027634F" w:rsidRPr="0027634F" w14:paraId="4D7C4564"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4294B3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Permanent HCPCS active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F384FC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April 1, 2027 onward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E5A7A3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Product-specific HCPCS active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0F446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Cleaner claims, reduced miscellaneous-code burden, stronger provider confidence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4C10F7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Permanent-code mode</w:t>
            </w:r>
          </w:p>
        </w:tc>
      </w:tr>
      <w:tr w:rsidR="0027634F" w:rsidRPr="0027634F" w14:paraId="1F085489"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37EE76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ASP maturation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67FCDE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After first two quarters of commercial data/reporting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00B0A5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ASP-based payment begins once available in CMS files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297480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Update assumptions once ASP is published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0B3DBE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ASP update mode</w:t>
            </w:r>
          </w:p>
        </w:tc>
      </w:tr>
    </w:tbl>
    <w:p w14:paraId="1D9FCBE9"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FA12B5">
          <v:rect id="_x0000_i1030" alt="" style="width:468pt;height:.05pt;mso-width-percent:0;mso-height-percent:0;mso-width-percent:0;mso-height-percent:0" o:hralign="center" o:hrstd="t" o:hr="t" fillcolor="#a0a0a0" stroked="f"/>
        </w:pict>
      </w:r>
    </w:p>
    <w:p w14:paraId="165E6FB5"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7. Commercial Friction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05"/>
        <w:gridCol w:w="1440"/>
        <w:gridCol w:w="1897"/>
        <w:gridCol w:w="2831"/>
        <w:gridCol w:w="1471"/>
      </w:tblGrid>
      <w:tr w:rsidR="0027634F" w:rsidRPr="0027634F" w14:paraId="57E8769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FF01FDC"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Friction Point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A032218"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Operating Fact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53FF77D"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Beren Mitigation Tool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2067184"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Message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C3DBF81"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Calculator Relevance</w:t>
            </w:r>
          </w:p>
        </w:tc>
      </w:tr>
      <w:tr w:rsidR="0027634F" w:rsidRPr="0027634F" w14:paraId="4F17CAE9"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19E6E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Prior authorization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8BB1AC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Valid and expected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CFF4AB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Pre-authorization letter / medical necessity template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8E2231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“We expect PA, and the team is equipped to support it.”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6686C8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Denial probability / approval status</w:t>
            </w:r>
          </w:p>
        </w:tc>
      </w:tr>
      <w:tr w:rsidR="0027634F" w:rsidRPr="0027634F" w14:paraId="1F667A26"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ED0270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Genetic confirmation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27553D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Expected in analogous NPC policies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A1D357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Documentation checklist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D990D7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“Genetic confirmation should be prepared before submission.”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3A5818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Documentation completeness</w:t>
            </w:r>
          </w:p>
        </w:tc>
      </w:tr>
      <w:tr w:rsidR="0027634F" w:rsidRPr="0027634F" w14:paraId="584AD07E"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968CB7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Specialist prescribing / oversight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451540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Expected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F11E0F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Prescriber attestation / clinical support packet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BF1568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“Specialist involvement should be positioned as expected, not exceptional.”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49236B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 readiness</w:t>
            </w:r>
          </w:p>
        </w:tc>
      </w:tr>
      <w:tr w:rsidR="0027634F" w:rsidRPr="0027634F" w14:paraId="3AA7BB0C"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92D57D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Continuation criteria</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B8F22A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Expected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D30405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Renewal / continuation support template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F206EB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“Reauthorization must be planned from baseline.”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A44561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Reauth timing / continuation risk</w:t>
            </w:r>
          </w:p>
        </w:tc>
      </w:tr>
      <w:tr w:rsidR="0027634F" w:rsidRPr="0027634F" w14:paraId="234B8BD6"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FBF9D8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Site-of-care review</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50AA8D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Valid and expected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4FC42C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Site-of-care support rationale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C9AC41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“COE administration should be framed as clinically and operationally appropriate.”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862044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 approval risk</w:t>
            </w:r>
          </w:p>
        </w:tc>
      </w:tr>
      <w:tr w:rsidR="0027634F" w:rsidRPr="0027634F" w14:paraId="1872FEF1"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4405B5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White-bagging / specialty pharmacy sourcing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3FE220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Valid risk</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76D450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Channel-specific payer response pathway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5FF1F5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“White-bagging may reduce inventory exposure but can remove drug spread.”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7627D6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Buy-and-bill vs white-bagging toggle</w:t>
            </w:r>
          </w:p>
        </w:tc>
      </w:tr>
      <w:tr w:rsidR="0027634F" w:rsidRPr="0027634F" w14:paraId="1C580164"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EAB218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Denials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631A71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Expected in launch gap</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9E4B51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Denial letter / appeal template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603031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“Denials are manageable only if the response pathway is ready.”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C9BB41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Denial/rework cost</w:t>
            </w:r>
          </w:p>
        </w:tc>
      </w:tr>
      <w:tr w:rsidR="0027634F" w:rsidRPr="0027634F" w14:paraId="3583B4C8"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73A0D8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NDC / claim documentation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926CB3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Required for clean payment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04ED38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Billing guide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B158DA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“Clean claim construction is part of the access strategy.”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4E80E9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Claim quality input</w:t>
            </w:r>
          </w:p>
        </w:tc>
      </w:tr>
    </w:tbl>
    <w:p w14:paraId="18BB29E9"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combined brief documents that analogous commercial policies use genetic confirmation, specialist oversight, continuation based on documented positive response, overlap controls, precertification, site-of-care management, and administration requirements. It also identifies specialty-pharmacy sourcing as a separate access-control channel that can determine whether the provider bills for the drug or only administration.  </w:t>
      </w:r>
    </w:p>
    <w:p w14:paraId="5F438D89"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C9E176">
          <v:rect id="_x0000_i1029" alt="" style="width:468pt;height:.05pt;mso-width-percent:0;mso-height-percent:0;mso-width-percent:0;mso-height-percent:0" o:hralign="center" o:hrstd="t" o:hr="t" fillcolor="#a0a0a0" stroked="f"/>
        </w:pict>
      </w:r>
    </w:p>
    <w:p w14:paraId="3D999BF5"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8. ARM and Patient-Team Tool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54"/>
        <w:gridCol w:w="1700"/>
        <w:gridCol w:w="2070"/>
        <w:gridCol w:w="1280"/>
        <w:gridCol w:w="2940"/>
      </w:tblGrid>
      <w:tr w:rsidR="0027634F" w:rsidRPr="0027634F" w14:paraId="47F3644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900E204"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Tool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1EB8F64"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Primary User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4E8C44D"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Purpose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BF70B2"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Where It Fits in Workflow</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B535BBD"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Training Message</w:t>
            </w:r>
          </w:p>
        </w:tc>
      </w:tr>
      <w:tr w:rsidR="0027634F" w:rsidRPr="0027634F" w14:paraId="10EA6EAE"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F5A28E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Pre-Authorization Letter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0DFA8C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ARM / patient access team / provider office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F5A3D4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Supports initial payer approval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3EE5B2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Before first dose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A2B0EF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“Do not let the site build the PA record from scratch.”</w:t>
            </w:r>
          </w:p>
        </w:tc>
      </w:tr>
      <w:tr w:rsidR="0027634F" w:rsidRPr="0027634F" w14:paraId="3999AF47"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A4C53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Medical Necessity Letter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82F2ED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Provider / patient team</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525CA9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Establishes clinical rationale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5DA222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 and appeal packet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C5D127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“Tie diagnosis, disease severity, treatment rationale, and site-of-care need together.”</w:t>
            </w:r>
          </w:p>
        </w:tc>
      </w:tr>
      <w:tr w:rsidR="0027634F" w:rsidRPr="0027634F" w14:paraId="6E8ADF07"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7E6070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Denial Letter / Appeal Template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EA8F91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Patient team / provider billing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368441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Responds to payer denial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20804C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Post-denial / resubmission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8AD61B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“Denial response should be standardized and fast.”</w:t>
            </w:r>
          </w:p>
        </w:tc>
      </w:tr>
      <w:tr w:rsidR="0027634F" w:rsidRPr="0027634F" w14:paraId="0EDD385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09B142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Billing Guide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8617C6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ARM / provider billing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EEF546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Supports HCPCS/NOC/C9399/NDC claim construction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E853E4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Before first commercial claim</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8B3A56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“Billing readiness should precede dosing.”</w:t>
            </w:r>
          </w:p>
        </w:tc>
      </w:tr>
      <w:tr w:rsidR="0027634F" w:rsidRPr="0027634F" w14:paraId="3AF1D4A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7C60B0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Site-of-Care Rationale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3A1438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ARM / provider / payer access team</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CA8C99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Defends COE or hospital outpatient administration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24B8CF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 and site-of-care review</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76C908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“COE care is part of the clinical and operational logic.”</w:t>
            </w:r>
          </w:p>
        </w:tc>
      </w:tr>
      <w:tr w:rsidR="0027634F" w:rsidRPr="0027634F" w14:paraId="65B768C4"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A78C2D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Reauthorization Checklist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5D6C13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Patient access team / provider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ABE328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Supports continuation coverage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DA5CBB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Before renewal date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C8642A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“Continuation evidence starts with baseline documentation.”</w:t>
            </w:r>
          </w:p>
        </w:tc>
      </w:tr>
      <w:tr w:rsidR="0027634F" w:rsidRPr="0027634F" w14:paraId="44CF947A"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83B033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Net-Cost Recovery Calculator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AF730E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ARM</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81C7C5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Shows provider economics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7DAEEB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 value discussion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503FB6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“This converts reimbursement mechanics into site-level economics.”</w:t>
            </w:r>
          </w:p>
        </w:tc>
      </w:tr>
      <w:tr w:rsidR="0027634F" w:rsidRPr="0027634F" w14:paraId="41C49124"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A7FD6C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One-Page PDF Output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5603F1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ARM / provider stakeholder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860BC7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Summarizes scenario-specific value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22B88D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Leave-behind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B2D3E8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“Use as the executive summary of the calculator result.”</w:t>
            </w:r>
          </w:p>
        </w:tc>
      </w:tr>
    </w:tbl>
    <w:p w14:paraId="2D00F2AA"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386D5B">
          <v:rect id="_x0000_i1028" alt="" style="width:468pt;height:.05pt;mso-width-percent:0;mso-height-percent:0;mso-width-percent:0;mso-height-percent:0" o:hralign="center" o:hrstd="t" o:hr="t" fillcolor="#a0a0a0" stroked="f"/>
        </w:pict>
      </w:r>
    </w:p>
    <w:p w14:paraId="186A1C68"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9. Medicaid / EPSDT / PAD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55"/>
        <w:gridCol w:w="3397"/>
        <w:gridCol w:w="3205"/>
        <w:gridCol w:w="1487"/>
      </w:tblGrid>
      <w:tr w:rsidR="0027634F" w:rsidRPr="0027634F" w14:paraId="6AFB901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9D0818C"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Topic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F06A171"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Fact / Assumption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6C2DC4"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Training Point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D247725"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Calculator Treatment</w:t>
            </w:r>
          </w:p>
        </w:tc>
      </w:tr>
      <w:tr w:rsidR="0027634F" w:rsidRPr="0027634F" w14:paraId="54ABC3DE"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FD3D7C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Medicaid relevance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D09350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Meaningful due to pediatric population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543F13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Medicaid should be treated as a core payer segment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A8969C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Separate Medicaid scenario</w:t>
            </w:r>
          </w:p>
        </w:tc>
      </w:tr>
      <w:tr w:rsidR="0027634F" w:rsidRPr="0027634F" w14:paraId="2669470B"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C860DE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EPSDT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DD0A3E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Coverage tailwind for medically necessary pediatric care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82D6D5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Helps the coverage argument, not the payment formula</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1C9D12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Narrative support</w:t>
            </w:r>
          </w:p>
        </w:tc>
      </w:tr>
      <w:tr w:rsidR="0027634F" w:rsidRPr="0027634F" w14:paraId="0E4ECDB3"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FD7393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EBB43C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Adrabetadex is treated as physician-administered / clinician-administered drug logic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125189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NDC and claim integrity matter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72D422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Claim quality field</w:t>
            </w:r>
          </w:p>
        </w:tc>
      </w:tr>
      <w:tr w:rsidR="0027634F" w:rsidRPr="0027634F" w14:paraId="73C2229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035FA1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Medicaid managed care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1C8D2D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May add payer-specific PA and sourcing controls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04D9E0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Do not assume FFS and MCO are the same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CB480E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FFS vs MCO toggle</w:t>
            </w:r>
          </w:p>
        </w:tc>
      </w:tr>
      <w:tr w:rsidR="0027634F" w:rsidRPr="0027634F" w14:paraId="4D251AB3"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9B6E38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340B Medicaid handling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844CED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Duplicate-discount controls matter</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2BF417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 must manage carve-in / carve-out accurately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E3EE00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340B Medicaid flag</w:t>
            </w:r>
          </w:p>
        </w:tc>
      </w:tr>
      <w:tr w:rsidR="0027634F" w:rsidRPr="0027634F" w14:paraId="6C89263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37E319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COE assumption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B419BF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COEs are 340B entities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F0A17D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Medicaid economics should not default to non-340B loss model for target sites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14198A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Default Medicaid COE = 340B</w:t>
            </w:r>
          </w:p>
        </w:tc>
      </w:tr>
    </w:tbl>
    <w:p w14:paraId="648AE723"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prior provider model correctly shows that Medicaid non-340B economics are negative, but under the revised working facts, the ARM-facing model should default target COE Medicaid scenarios to 340B because the primary customers are 340B entities. The concept brief still remains useful for showing why 340B status changes behavior and why Medicaid claim integrity cannot be ignored.  </w:t>
      </w:r>
    </w:p>
    <w:p w14:paraId="3FD2128A"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DB6620">
          <v:rect id="_x0000_i1027" alt="" style="width:468pt;height:.05pt;mso-width-percent:0;mso-height-percent:0;mso-width-percent:0;mso-height-percent:0" o:hralign="center" o:hrstd="t" o:hr="t" fillcolor="#a0a0a0" stroked="f"/>
        </w:pict>
      </w:r>
    </w:p>
    <w:p w14:paraId="791E1664"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10. Value Story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59"/>
        <w:gridCol w:w="2419"/>
        <w:gridCol w:w="3528"/>
        <w:gridCol w:w="1838"/>
      </w:tblGrid>
      <w:tr w:rsidR="0027634F" w:rsidRPr="0027634F" w14:paraId="3681304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24DE780"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Value Story Element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1B6E600"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Current Fact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A2794B"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ARM Translation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41436A5"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0"/>
              </w:rPr>
              <w:t>Proof / Model Output</w:t>
            </w:r>
          </w:p>
        </w:tc>
      </w:tr>
      <w:tr w:rsidR="0027634F" w:rsidRPr="0027634F" w14:paraId="2978B11C"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52619E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Clinical need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1BD051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Ultra-rare, severe pediatric disease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B79307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COEs understand the clinical need, but need reimbursement certainty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344979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Clinical narrative</w:t>
            </w:r>
          </w:p>
        </w:tc>
      </w:tr>
      <w:tr w:rsidR="0027634F" w:rsidRPr="0027634F" w14:paraId="1FA5B406"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62F41A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High acquisition exposure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DF5C21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$39,000 per dose, $1.014M annually</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824995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Sites need confidence before stocking and billing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F1B916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Acquisition exposure output</w:t>
            </w:r>
          </w:p>
        </w:tc>
      </w:tr>
      <w:tr w:rsidR="0027634F" w:rsidRPr="0027634F" w14:paraId="2C965ED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2F805F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Target-site concentration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09F95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COEs are the main customers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9AFA7A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One core training story can apply across most target accounts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2BF366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Site profile field</w:t>
            </w:r>
          </w:p>
        </w:tc>
      </w:tr>
      <w:tr w:rsidR="0027634F" w:rsidRPr="0027634F" w14:paraId="6856987A"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FC02C2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340B advantage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A6A9EC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Target COEs are 340B entities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75ACEA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Main economic lever is acquisition advantage vs WAC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1B6AEA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Per-dose and annual 340B value</w:t>
            </w:r>
          </w:p>
        </w:tc>
      </w:tr>
      <w:tr w:rsidR="0027634F" w:rsidRPr="0027634F" w14:paraId="08FBAABA"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D24646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Pass-through</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82D76D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Effective Jan. 1, 2027</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335471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HOPD payment predictability improves early in launch</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DF4F22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Pass-through scenario</w:t>
            </w:r>
          </w:p>
        </w:tc>
      </w:tr>
      <w:tr w:rsidR="0027634F" w:rsidRPr="0027634F" w14:paraId="0E8A1FD4"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9D1572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Permanent HCPCS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F08FB6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Effective Apr. 1, 2027</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6A1C43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Claim clarity improves after the bridge period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6F20A84"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Permanent-code scenario</w:t>
            </w:r>
          </w:p>
        </w:tc>
      </w:tr>
      <w:tr w:rsidR="0027634F" w:rsidRPr="0027634F" w14:paraId="3C6258D9"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3F3D27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Beren support tools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BDF1AB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PA, denial, billing, and access tools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911C53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Commercial friction is expected but addressable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9C8835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Tool checklist</w:t>
            </w:r>
          </w:p>
        </w:tc>
      </w:tr>
      <w:tr w:rsidR="0027634F" w:rsidRPr="0027634F" w14:paraId="6EF3E726"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3F74CEF"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Provider economics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14F26F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340B COE margin is structurally advantaged</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496D02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“The economics can work at the right sites.”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8BB929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0"/>
              </w:rPr>
              <w:t>Net margin output</w:t>
            </w:r>
          </w:p>
        </w:tc>
      </w:tr>
    </w:tbl>
    <w:p w14:paraId="1DF78867"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8D9890">
          <v:rect id="_x0000_i1026" alt="" style="width:468pt;height:.05pt;mso-width-percent:0;mso-height-percent:0;mso-width-percent:0;mso-height-percent:0" o:hralign="center" o:hrstd="t" o:hr="t" fillcolor="#a0a0a0" stroked="f"/>
        </w:pict>
      </w:r>
    </w:p>
    <w:p w14:paraId="3C38AAF7"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11. Revised Calculator Default Assumption Matrix</w:t>
      </w:r>
    </w:p>
    <w:tbl>
      <w:tblPr>
        <w:tblW w:w="5000" w:type="pct"/>
        <w:jc w:val="center"/>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38"/>
        <w:gridCol w:w="3001"/>
        <w:gridCol w:w="4105"/>
      </w:tblGrid>
      <w:tr w:rsidR="0027634F" w:rsidRPr="0027634F" w14:paraId="6667E89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5038D83"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1"/>
              </w:rPr>
              <w:t>Input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458B4E1"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1"/>
              </w:rPr>
              <w:t>Old / Broad Model</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A1FF0DB" w14:textId="77777777" w:rsidR="0027634F" w:rsidRPr="0027634F" w:rsidRDefault="0027634F" w:rsidP="0027634F">
            <w:pPr>
              <w:spacing w:before="0" w:after="40" w:line="259" w:lineRule="auto"/>
              <w:jc w:val="center"/>
              <w:rPr>
                <w:rFonts w:ascii="Times New Roman" w:eastAsia="Times New Roman" w:hAnsi="Times New Roman" w:cs="Times New Roman"/>
                <w:b/>
                <w:bCs/>
                <w:kern w:val="0"/>
                <w14:ligatures w14:val="none"/>
              </w:rPr>
            </w:pPr>
            <w:r w:rsidRPr="0027634F">
              <w:rPr>
                <w:rFonts w:ascii="Calibri" w:eastAsia="Times New Roman" w:hAnsi="Calibri" w:cs="Times New Roman"/>
                <w:b/>
                <w:bCs/>
                <w:kern w:val="0"/>
                <w14:ligatures w14:val="none"/>
                <w:sz w:val="21"/>
              </w:rPr>
              <w:t>Revised ARM Training Default</w:t>
            </w:r>
          </w:p>
        </w:tc>
      </w:tr>
      <w:tr w:rsidR="0027634F" w:rsidRPr="0027634F" w14:paraId="42B887EA"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B5292F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Site type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69DCEAB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HOPD / office / community / COE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B25584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COE / pediatric specialty hospital</w:t>
            </w:r>
          </w:p>
        </w:tc>
      </w:tr>
      <w:tr w:rsidR="0027634F" w:rsidRPr="0027634F" w14:paraId="56CDCBF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C42F9F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340B</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7C7063"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Toggle</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0F0893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Default = Yes</w:t>
            </w:r>
          </w:p>
        </w:tc>
      </w:tr>
      <w:tr w:rsidR="0027634F" w:rsidRPr="0027634F" w14:paraId="4676C62E"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017993B"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WAC</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45E2AA1"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$39,000</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B960CD2"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$39,000</w:t>
            </w:r>
          </w:p>
        </w:tc>
      </w:tr>
      <w:tr w:rsidR="0027634F" w:rsidRPr="0027634F" w14:paraId="2395CC17"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59DB02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Dosing</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D7B68B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Every 2 weeks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26BFB5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Every 2 weeks</w:t>
            </w:r>
          </w:p>
        </w:tc>
      </w:tr>
      <w:tr w:rsidR="0027634F" w:rsidRPr="0027634F" w14:paraId="768F4447"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4C34A8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30ECB0D"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26</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990796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26</w:t>
            </w:r>
          </w:p>
        </w:tc>
      </w:tr>
      <w:tr w:rsidR="0027634F" w:rsidRPr="0027634F" w14:paraId="3828F3B8"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13B5765"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Pre-ASP administrations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C94A46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13</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D7477E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13</w:t>
            </w:r>
          </w:p>
        </w:tc>
      </w:tr>
      <w:tr w:rsidR="0027634F" w:rsidRPr="0027634F" w14:paraId="3573B200"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61ABE0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Pass-through</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AF8C06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Scenario-dependent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53F9E930"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Effective Jan. 1, 2027</w:t>
            </w:r>
          </w:p>
        </w:tc>
      </w:tr>
      <w:tr w:rsidR="0027634F" w:rsidRPr="0027634F" w14:paraId="3C872326"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280827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Permanent HCPCS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71AE31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Scenario-dependent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D8759A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Effective Apr. 1, 2027</w:t>
            </w:r>
          </w:p>
        </w:tc>
      </w:tr>
      <w:tr w:rsidR="0027634F" w:rsidRPr="0027634F" w14:paraId="3A902E6D"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275C4D9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Commercial friction</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B1932BC"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Risk factors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0BC1576"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Expected, mitigated with Beren tools</w:t>
            </w:r>
          </w:p>
        </w:tc>
      </w:tr>
      <w:tr w:rsidR="0027634F" w:rsidRPr="0027634F" w14:paraId="1B832EB7"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851EE4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Non-340B support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0A2EFC1A"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Major scenario</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478A30E9"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Secondary / sensitivity only</w:t>
            </w:r>
          </w:p>
        </w:tc>
      </w:tr>
      <w:tr w:rsidR="0027634F" w:rsidRPr="0027634F" w14:paraId="4FAF4485" w14:textId="77777777">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12A3F4AE"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Core output</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36EE74A7"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Compare all channels</w:t>
            </w:r>
          </w:p>
        </w:tc>
        <w:tc>
          <w:tcPr>
            <w:tcW w:w="0" w:type="auto"/>
            <w:tcBorders>
              <w:top w:val="single" w:sz="6" w:space="0" w:color="auto"/>
              <w:left w:val="single" w:sz="6" w:space="0" w:color="auto"/>
              <w:bottom w:val="single" w:sz="6" w:space="0" w:color="auto"/>
              <w:right w:val="single" w:sz="6" w:space="0" w:color="auto"/>
            </w:tcBorders>
            <w:noWrap/>
            <w:tcMar>
              <w:top w:w="90" w:type="dxa"/>
              <w:left w:w="180" w:type="dxa"/>
              <w:bottom w:w="90" w:type="dxa"/>
              <w:right w:w="180" w:type="dxa"/>
              <w:start w:w="110" w:type="dxa"/>
              <w:end w:w="110" w:type="dxa"/>
            </w:tcMar>
            <w:vAlign w:val="top"/>
            <w:hideMark/>
          </w:tcPr>
          <w:p w14:paraId="74FE0268" w14:textId="77777777" w:rsidR="0027634F" w:rsidRPr="0027634F" w:rsidRDefault="0027634F" w:rsidP="0027634F">
            <w:pPr>
              <w:spacing w:before="0" w:after="40" w:line="259" w:lineRule="auto"/>
              <w:rPr>
                <w:rFonts w:ascii="Times New Roman" w:eastAsia="Times New Roman" w:hAnsi="Times New Roman" w:cs="Times New Roman"/>
                <w:kern w:val="0"/>
                <w14:ligatures w14:val="none"/>
              </w:rPr>
            </w:pPr>
            <w:r w:rsidRPr="0027634F">
              <w:rPr>
                <w:rFonts w:ascii="Calibri" w:eastAsia="Times New Roman" w:hAnsi="Calibri" w:cs="Times New Roman"/>
                <w:kern w:val="0"/>
                <w14:ligatures w14:val="none"/>
                <w:sz w:val="21"/>
              </w:rPr>
              <w:t>Show 340B COE value and operational readiness</w:t>
            </w:r>
          </w:p>
        </w:tc>
      </w:tr>
    </w:tbl>
    <w:p w14:paraId="11E47C02" w14:textId="77777777" w:rsidR="0027634F" w:rsidRPr="0027634F" w:rsidRDefault="005162B5" w:rsidP="0027634F">
      <w:pPr>
        <w:spacing w:before="0" w:beforeAutospacing="0" w:after="80" w:afterAutospacing="0" w:line="269"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691BE1">
          <v:rect id="_x0000_i1025" alt="" style="width:468pt;height:.05pt;mso-width-percent:0;mso-height-percent:0;mso-width-percent:0;mso-height-percent:0" o:hralign="center" o:hrstd="t" o:hr="t" fillcolor="#a0a0a0" stroked="f"/>
        </w:pict>
      </w:r>
    </w:p>
    <w:p w14:paraId="05761C77" w14:textId="77777777" w:rsidR="0027634F" w:rsidRPr="0027634F" w:rsidRDefault="0027634F" w:rsidP="0027634F">
      <w:pPr>
        <w:spacing w:after="80" w:line="269" w:lineRule="auto"/>
        <w:outlineLvl w:val="1"/>
        <w:rPr>
          <w:rFonts w:ascii="Times New Roman" w:eastAsia="Times New Roman" w:hAnsi="Times New Roman" w:cs="Times New Roman"/>
          <w:b/>
          <w:bCs/>
          <w:kern w:val="0"/>
          <w:sz w:val="36"/>
          <w:szCs w:val="36"/>
          <w14:ligatures w14:val="none"/>
        </w:rPr>
      </w:pPr>
      <w:r w:rsidRPr="0027634F">
        <w:rPr>
          <w:rFonts w:ascii="Times New Roman" w:eastAsia="Times New Roman" w:hAnsi="Times New Roman" w:cs="Times New Roman"/>
          <w:b/>
          <w:bCs/>
          <w:kern w:val="0"/>
          <w:sz w:val="36"/>
          <w:szCs w:val="36"/>
          <w14:ligatures w14:val="none"/>
        </w:rPr>
        <w:t>12. Final ARM Training Thesis</w:t>
      </w:r>
    </w:p>
    <w:p w14:paraId="1F2EBC80"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Adrabetadex launch adoption will be COE-led. Because the target centers are 340B entities, the provider value story is not primarily about rescuing fragile non-340B economics. It is about showing 340B centers that Adrabetadex can be administered through a predictable reimbursement pathway once pass-through, interim billing support, permanent HCPCS timing, and payer-access tools are understood.</w:t>
      </w:r>
    </w:p>
    <w:p w14:paraId="5F0247F9"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kern w:val="0"/>
          <w14:ligatures w14:val="none"/>
        </w:rPr>
        <w:t>The practical message:</w:t>
      </w:r>
    </w:p>
    <w:p w14:paraId="7590149D" w14:textId="77777777" w:rsidR="0027634F" w:rsidRPr="0027634F" w:rsidRDefault="0027634F" w:rsidP="0027634F">
      <w:pPr>
        <w:spacing w:after="80" w:line="269" w:lineRule="auto"/>
        <w:rPr>
          <w:rFonts w:ascii="Times New Roman" w:eastAsia="Times New Roman" w:hAnsi="Times New Roman" w:cs="Times New Roman"/>
          <w:kern w:val="0"/>
          <w14:ligatures w14:val="none"/>
        </w:rPr>
      </w:pPr>
      <w:r w:rsidRPr="0027634F">
        <w:rPr>
          <w:rFonts w:ascii="Times New Roman" w:eastAsia="Times New Roman" w:hAnsi="Times New Roman" w:cs="Times New Roman"/>
          <w:b/>
          <w:bCs/>
          <w:kern w:val="0"/>
          <w14:ligatures w14:val="none"/>
        </w:rPr>
        <w:t>At the target sites, the economics can work. The ARM job is to make the pathway visible, reduce reimbursement uncertainty, and show the institution how 340B acquisition, pass-through timing, clean billing, and Beren’s access tools convert clinical interest into operational adoption.</w:t>
      </w:r>
    </w:p>
    <w:p w14:paraId="5A7EFD4C" w14:textId="77777777" w:rsidR="00CE6975" w:rsidRDefault="00CE6975">
      <w:pPr>
        <w:spacing w:after="80" w:line="269" w:lineRule="auto"/>
      </w:pPr>
    </w:p>
    <w:p>
      <w:pPr>
        <w:spacing w:after="80" w:line="269" w:lineRule="auto"/>
      </w:pPr>
      <w:r>
        <w:t>Codex implementation mapping</w:t>
      </w:r>
    </w:p>
    <w:tbl>
      <w:tblPr>
        <w:tblW w:type="pct" w:w="500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top"/>
            <w:tcMar>
              <w:top w:w="90" w:type="dxa"/>
              <w:bottom w:w="90" w:type="dxa"/>
              <w:start w:w="110" w:type="dxa"/>
              <w:end w:w="110" w:type="dxa"/>
            </w:tcMar>
          </w:tcPr>
          <w:p>
            <w:pPr>
              <w:spacing w:before="0" w:after="40" w:line="259" w:lineRule="auto"/>
            </w:pPr>
            <w:r>
              <w:rPr>
                <w:rFonts w:ascii="Calibri" w:hAnsi="Calibri"/>
                <w:b/>
                <w:sz w:val="18"/>
              </w:rPr>
              <w:t>Assumption ID</w:t>
            </w:r>
          </w:p>
        </w:tc>
        <w:tc>
          <w:tcPr>
            <w:tcW w:type="dxa" w:w="1337"/>
            <w:vAlign w:val="top"/>
            <w:tcMar>
              <w:top w:w="90" w:type="dxa"/>
              <w:bottom w:w="90" w:type="dxa"/>
              <w:start w:w="110" w:type="dxa"/>
              <w:end w:w="110" w:type="dxa"/>
            </w:tcMar>
          </w:tcPr>
          <w:p>
            <w:pPr>
              <w:spacing w:before="0" w:after="40" w:line="259" w:lineRule="auto"/>
            </w:pPr>
            <w:r>
              <w:rPr>
                <w:rFonts w:ascii="Calibri" w:hAnsi="Calibri"/>
                <w:b/>
                <w:sz w:val="18"/>
              </w:rPr>
              <w:t>Training Guide</w:t>
            </w:r>
          </w:p>
        </w:tc>
        <w:tc>
          <w:tcPr>
            <w:tcW w:type="dxa" w:w="1337"/>
            <w:vAlign w:val="top"/>
            <w:tcMar>
              <w:top w:w="90" w:type="dxa"/>
              <w:bottom w:w="90" w:type="dxa"/>
              <w:start w:w="110" w:type="dxa"/>
              <w:end w:w="110" w:type="dxa"/>
            </w:tcMar>
          </w:tcPr>
          <w:p>
            <w:pPr>
              <w:spacing w:before="0" w:after="40" w:line="259" w:lineRule="auto"/>
            </w:pPr>
            <w:r>
              <w:rPr>
                <w:rFonts w:ascii="Calibri" w:hAnsi="Calibri"/>
                <w:b/>
                <w:sz w:val="18"/>
              </w:rPr>
              <w:t>PowerPoint</w:t>
            </w:r>
          </w:p>
        </w:tc>
        <w:tc>
          <w:tcPr>
            <w:tcW w:type="dxa" w:w="1337"/>
            <w:vAlign w:val="top"/>
            <w:tcMar>
              <w:top w:w="90" w:type="dxa"/>
              <w:bottom w:w="90" w:type="dxa"/>
              <w:start w:w="110" w:type="dxa"/>
              <w:end w:w="110" w:type="dxa"/>
            </w:tcMar>
          </w:tcPr>
          <w:p>
            <w:pPr>
              <w:spacing w:before="0" w:after="40" w:line="259" w:lineRule="auto"/>
            </w:pPr>
            <w:r>
              <w:rPr>
                <w:rFonts w:ascii="Calibri" w:hAnsi="Calibri"/>
                <w:b/>
                <w:sz w:val="18"/>
              </w:rPr>
              <w:t>Calculator</w:t>
            </w:r>
          </w:p>
        </w:tc>
        <w:tc>
          <w:tcPr>
            <w:tcW w:type="dxa" w:w="1337"/>
            <w:vAlign w:val="top"/>
            <w:tcMar>
              <w:top w:w="90" w:type="dxa"/>
              <w:bottom w:w="90" w:type="dxa"/>
              <w:start w:w="110" w:type="dxa"/>
              <w:end w:w="110" w:type="dxa"/>
            </w:tcMar>
          </w:tcPr>
          <w:p>
            <w:pPr>
              <w:spacing w:before="0" w:after="40" w:line="259" w:lineRule="auto"/>
            </w:pPr>
            <w:r>
              <w:rPr>
                <w:rFonts w:ascii="Calibri" w:hAnsi="Calibri"/>
                <w:b/>
                <w:sz w:val="18"/>
              </w:rPr>
              <w:t>One-Page PDF</w:t>
            </w:r>
          </w:p>
        </w:tc>
        <w:tc>
          <w:tcPr>
            <w:tcW w:type="dxa" w:w="1337"/>
            <w:vAlign w:val="top"/>
            <w:tcMar>
              <w:top w:w="90" w:type="dxa"/>
              <w:bottom w:w="90" w:type="dxa"/>
              <w:start w:w="110" w:type="dxa"/>
              <w:end w:w="110" w:type="dxa"/>
            </w:tcMar>
          </w:tcPr>
          <w:p>
            <w:pPr>
              <w:spacing w:before="0" w:after="40" w:line="259" w:lineRule="auto"/>
            </w:pPr>
            <w:r>
              <w:rPr>
                <w:rFonts w:ascii="Calibri" w:hAnsi="Calibri"/>
                <w:b/>
                <w:sz w:val="18"/>
              </w:rPr>
              <w:t>Billing Reference</w:t>
            </w:r>
          </w:p>
        </w:tc>
        <w:tc>
          <w:tcPr>
            <w:tcW w:type="dxa" w:w="1337"/>
            <w:vAlign w:val="top"/>
            <w:tcMar>
              <w:top w:w="90" w:type="dxa"/>
              <w:bottom w:w="90" w:type="dxa"/>
              <w:start w:w="110" w:type="dxa"/>
              <w:end w:w="110" w:type="dxa"/>
            </w:tcMar>
          </w:tcPr>
          <w:p>
            <w:pPr>
              <w:spacing w:before="0" w:after="40" w:line="259" w:lineRule="auto"/>
            </w:pPr>
            <w:r>
              <w:rPr>
                <w:rFonts w:ascii="Calibri" w:hAnsi="Calibri"/>
                <w:b/>
                <w:sz w:val="18"/>
              </w:rPr>
              <w:t>Notes</w:t>
            </w:r>
          </w:p>
        </w:tc>
      </w:tr>
      <w:tr>
        <w:tc>
          <w:tcPr>
            <w:tcW w:type="dxa" w:w="1337"/>
            <w:vAlign w:val="top"/>
            <w:tcMar>
              <w:top w:w="90" w:type="dxa"/>
              <w:bottom w:w="90" w:type="dxa"/>
              <w:start w:w="110" w:type="dxa"/>
              <w:end w:w="110" w:type="dxa"/>
            </w:tcMar>
          </w:tcPr>
          <w:p>
            <w:pPr>
              <w:spacing w:before="0" w:after="40" w:line="259" w:lineRule="auto"/>
            </w:pPr>
            <w:r>
              <w:rPr>
                <w:rFonts w:ascii="Calibri" w:hAnsi="Calibri"/>
                <w:sz w:val="18"/>
              </w:rPr>
              <w:t>A1</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Executive summary figures and key assumptions section</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Opening quantitative frame slide</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Default WAC/dose/frequency inputs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Top-line numbers block</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Referenced as planning baseline only</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Scenario-specific economics; does not guarantee payment</w:t>
            </w:r>
          </w:p>
        </w:tc>
      </w:tr>
      <w:tr>
        <w:tc>
          <w:tcPr>
            <w:tcW w:type="dxa" w:w="1337"/>
            <w:vAlign w:val="top"/>
            <w:tcMar>
              <w:top w:w="90" w:type="dxa"/>
              <w:bottom w:w="90" w:type="dxa"/>
              <w:start w:w="110" w:type="dxa"/>
              <w:end w:w="110" w:type="dxa"/>
            </w:tcMar>
          </w:tcPr>
          <w:p>
            <w:pPr>
              <w:spacing w:before="0" w:after="40" w:line="259" w:lineRule="auto"/>
            </w:pPr>
            <w:r>
              <w:rPr>
                <w:rFonts w:ascii="Calibri" w:hAnsi="Calibri"/>
                <w:sz w:val="18"/>
              </w:rPr>
              <w:t>A2</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Launch timeline and sequencing language</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Timeline slide with if-granted/if-assigned qualifiers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Date-state toggles for launch/pass-through/HCPCS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Timeline callout row</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Timeline table with verification prompts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Mark as planning timeline pending external confirmation</w:t>
            </w:r>
          </w:p>
        </w:tc>
      </w:tr>
      <w:tr>
        <w:tc>
          <w:tcPr>
            <w:tcW w:type="dxa" w:w="1337"/>
            <w:vAlign w:val="top"/>
            <w:tcMar>
              <w:top w:w="90" w:type="dxa"/>
              <w:bottom w:w="90" w:type="dxa"/>
              <w:start w:w="110" w:type="dxa"/>
              <w:end w:w="110" w:type="dxa"/>
            </w:tcMar>
          </w:tcPr>
          <w:p>
            <w:pPr>
              <w:spacing w:before="0" w:after="40" w:line="259" w:lineRule="auto"/>
            </w:pPr>
            <w:r>
              <w:rPr>
                <w:rFonts w:ascii="Calibri" w:hAnsi="Calibri"/>
                <w:sz w:val="18"/>
              </w:rPr>
              <w:t>A3</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COE-led default scenario positioning</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Target-account prioritization slide</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Default site type = COE/HOPD and 340B = Yes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Default scenario summary</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Hospital outpatient checklist emphasis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Institution-specific validation still required</w:t>
            </w:r>
          </w:p>
        </w:tc>
      </w:tr>
      <w:tr>
        <w:tc>
          <w:tcPr>
            <w:tcW w:type="dxa" w:w="1337"/>
            <w:vAlign w:val="top"/>
            <w:tcMar>
              <w:top w:w="90" w:type="dxa"/>
              <w:bottom w:w="90" w:type="dxa"/>
              <w:start w:w="110" w:type="dxa"/>
              <w:end w:w="110" w:type="dxa"/>
            </w:tcMar>
          </w:tcPr>
          <w:p>
            <w:pPr>
              <w:spacing w:before="0" w:after="40" w:line="259" w:lineRule="auto"/>
            </w:pPr>
            <w:r>
              <w:rPr>
                <w:rFonts w:ascii="Calibri" w:hAnsi="Calibri"/>
                <w:sz w:val="18"/>
              </w:rPr>
              <w:t>A4</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Non-340B described as sensitivity only</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Sensitivity appendix slide</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Sensitivity toggle only (non-default)</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Sensitivity footnote</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Professional/commercial pathway caution</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Avoid presenting non-340B as expected baseline</w:t>
            </w:r>
          </w:p>
        </w:tc>
      </w:tr>
      <w:tr>
        <w:tc>
          <w:tcPr>
            <w:tcW w:type="dxa" w:w="1337"/>
            <w:vAlign w:val="top"/>
            <w:tcMar>
              <w:top w:w="90" w:type="dxa"/>
              <w:bottom w:w="90" w:type="dxa"/>
              <w:start w:w="110" w:type="dxa"/>
              <w:end w:w="110" w:type="dxa"/>
            </w:tcMar>
          </w:tcPr>
          <w:p>
            <w:pPr>
              <w:spacing w:before="0" w:after="40" w:line="259" w:lineRule="auto"/>
            </w:pPr>
            <w:r>
              <w:rPr>
                <w:rFonts w:ascii="Calibri" w:hAnsi="Calibri"/>
                <w:sz w:val="18"/>
              </w:rPr>
              <w:t>A5</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References billing reference for code-level details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Compliance and verification slide</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No hard-coded billing guarantee outputs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Validation note only</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Primary home for procedural coding flags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External validation needed before claim submission</w:t>
            </w:r>
          </w:p>
        </w:tc>
      </w:tr>
      <w:tr>
        <w:tc>
          <w:tcPr>
            <w:tcW w:type="dxa" w:w="1337"/>
            <w:vAlign w:val="top"/>
            <w:tcMar>
              <w:top w:w="90" w:type="dxa"/>
              <w:bottom w:w="90" w:type="dxa"/>
              <w:start w:w="110" w:type="dxa"/>
              <w:end w:w="110" w:type="dxa"/>
            </w:tcMar>
          </w:tcPr>
          <w:p>
            <w:pPr>
              <w:spacing w:before="0" w:after="40" w:line="259" w:lineRule="auto"/>
            </w:pPr>
            <w:r>
              <w:rPr>
                <w:rFonts w:ascii="Calibri" w:hAnsi="Calibri"/>
                <w:sz w:val="18"/>
              </w:rPr>
              <w:t>A6</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Objection handling and ARM workflow section</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Access-friction mitigation slide</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Denial/rework and sourcing assumptions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Risk disclaimer row</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Checklist and reminder blocks</w:t>
            </w:r>
          </w:p>
        </w:tc>
        <w:tc>
          <w:tcPr>
            <w:tcW w:type="dxa" w:w="1337"/>
            <w:vAlign w:val="top"/>
            <w:tcMar>
              <w:top w:w="90" w:type="dxa"/>
              <w:bottom w:w="90" w:type="dxa"/>
              <w:start w:w="110" w:type="dxa"/>
              <w:end w:w="110" w:type="dxa"/>
            </w:tcMar>
          </w:tcPr>
          <w:p>
            <w:pPr>
              <w:spacing w:before="0" w:after="40" w:line="259" w:lineRule="auto"/>
            </w:pPr>
            <w:r>
              <w:rPr>
                <w:rFonts w:ascii="Calibri" w:hAnsi="Calibri"/>
                <w:sz w:val="18"/>
              </w:rPr>
              <w:t>Use cautious language: expected/verify/payer-specific</w:t>
            </w:r>
          </w:p>
        </w:tc>
      </w:tr>
    </w:tbl>
    <w:sectPr w:rsidR="00CE6975">
      <w:pgSz w:w="15840" w:h="12240" w:orient="landscape"/>
      <w:pgMar w:top="1008" w:right="792" w:bottom="100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049D9"/>
    <w:multiLevelType w:val="multilevel"/>
    <w:tmpl w:val="BAF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4F"/>
    <w:rsid w:val="0027634F"/>
    <w:rsid w:val="003058A5"/>
    <w:rsid w:val="00437277"/>
    <w:rsid w:val="004D09E2"/>
    <w:rsid w:val="005162B5"/>
    <w:rsid w:val="00746CAD"/>
    <w:rsid w:val="009808CF"/>
    <w:rsid w:val="00AD4CCB"/>
    <w:rsid w:val="00C22BAC"/>
    <w:rsid w:val="00CE6975"/>
    <w:rsid w:val="00DC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A4D7"/>
  <w15:chartTrackingRefBased/>
  <w15:docId w15:val="{DDA71AF5-E947-AB4D-A9E2-31564F30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eastAsia="Calibri"/>
      <w:sz w:val="22"/>
    </w:rPr>
  </w:style>
  <w:style w:type="paragraph" w:styleId="Heading1">
    <w:name w:val="heading 1"/>
    <w:basedOn w:val="Normal"/>
    <w:next w:val="Normal"/>
    <w:link w:val="Heading1Char"/>
    <w:uiPriority w:val="9"/>
    <w:qFormat/>
    <w:rsid w:val="0027634F"/>
    <w:pPr>
      <w:keepNext/>
      <w:keepLines/>
      <w:spacing w:before="200" w:after="120"/>
      <w:outlineLvl w:val="0"/>
    </w:pPr>
    <w:rPr>
      <w:rFonts w:asciiTheme="majorHAnsi" w:eastAsiaTheme="majorEastAsia" w:hAnsiTheme="majorHAnsi" w:cstheme="majorBidi" w:ascii="Calibri" w:hAnsi="Calibri" w:eastAsia="Calibri"/>
      <w:b/>
      <w:color w:val="2F5496" w:themeColor="accent1" w:themeShade="BF"/>
      <w:sz w:val="36"/>
      <w:szCs w:val="40"/>
    </w:rPr>
  </w:style>
  <w:style w:type="paragraph" w:styleId="Heading2">
    <w:name w:val="heading 2"/>
    <w:basedOn w:val="Normal"/>
    <w:next w:val="Normal"/>
    <w:link w:val="Heading2Char"/>
    <w:uiPriority w:val="9"/>
    <w:unhideWhenUsed/>
    <w:qFormat/>
    <w:rsid w:val="0027634F"/>
    <w:pPr>
      <w:keepNext/>
      <w:keepLines/>
      <w:spacing w:before="200" w:after="80"/>
      <w:outlineLvl w:val="1"/>
    </w:pPr>
    <w:rPr>
      <w:rFonts w:asciiTheme="majorHAnsi" w:eastAsiaTheme="majorEastAsia" w:hAnsiTheme="majorHAnsi" w:cstheme="majorBidi" w:ascii="Calibri" w:hAnsi="Calibri" w:eastAsia="Calibri"/>
      <w:b/>
      <w:color w:val="2F5496" w:themeColor="accent1" w:themeShade="BF"/>
      <w:sz w:val="28"/>
      <w:szCs w:val="32"/>
    </w:rPr>
  </w:style>
  <w:style w:type="paragraph" w:styleId="Heading3">
    <w:name w:val="heading 3"/>
    <w:basedOn w:val="Normal"/>
    <w:next w:val="Normal"/>
    <w:link w:val="Heading3Char"/>
    <w:uiPriority w:val="9"/>
    <w:semiHidden/>
    <w:unhideWhenUsed/>
    <w:qFormat/>
    <w:rsid w:val="0027634F"/>
    <w:pPr>
      <w:keepNext/>
      <w:keepLines/>
      <w:spacing w:before="160" w:after="60"/>
      <w:outlineLvl w:val="2"/>
    </w:pPr>
    <w:rPr>
      <w:rFonts w:eastAsiaTheme="majorEastAsia" w:cstheme="majorBidi" w:ascii="Calibri" w:hAnsi="Calibri" w:eastAsia="Calibri"/>
      <w:b/>
      <w:color w:val="2F5496" w:themeColor="accent1" w:themeShade="BF"/>
      <w:sz w:val="24"/>
      <w:szCs w:val="28"/>
    </w:rPr>
  </w:style>
  <w:style w:type="paragraph" w:styleId="Heading4">
    <w:name w:val="heading 4"/>
    <w:basedOn w:val="Normal"/>
    <w:next w:val="Normal"/>
    <w:link w:val="Heading4Char"/>
    <w:uiPriority w:val="9"/>
    <w:semiHidden/>
    <w:unhideWhenUsed/>
    <w:qFormat/>
    <w:rsid w:val="00276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4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4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6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4F"/>
    <w:rPr>
      <w:rFonts w:eastAsiaTheme="majorEastAsia" w:cstheme="majorBidi"/>
      <w:color w:val="272727" w:themeColor="text1" w:themeTint="D8"/>
    </w:rPr>
  </w:style>
  <w:style w:type="paragraph" w:styleId="Title">
    <w:name w:val="Title"/>
    <w:basedOn w:val="Normal"/>
    <w:next w:val="Normal"/>
    <w:link w:val="TitleChar"/>
    <w:uiPriority w:val="10"/>
    <w:qFormat/>
    <w:rsid w:val="0027634F"/>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34F"/>
    <w:rPr>
      <w:i/>
      <w:iCs/>
      <w:color w:val="404040" w:themeColor="text1" w:themeTint="BF"/>
    </w:rPr>
  </w:style>
  <w:style w:type="paragraph" w:styleId="ListParagraph">
    <w:name w:val="List Paragraph"/>
    <w:basedOn w:val="Normal"/>
    <w:uiPriority w:val="34"/>
    <w:qFormat/>
    <w:rsid w:val="0027634F"/>
    <w:pPr>
      <w:ind w:left="720"/>
      <w:contextualSpacing/>
    </w:pPr>
  </w:style>
  <w:style w:type="character" w:styleId="IntenseEmphasis">
    <w:name w:val="Intense Emphasis"/>
    <w:basedOn w:val="DefaultParagraphFont"/>
    <w:uiPriority w:val="21"/>
    <w:qFormat/>
    <w:rsid w:val="0027634F"/>
    <w:rPr>
      <w:i/>
      <w:iCs/>
      <w:color w:val="2F5496" w:themeColor="accent1" w:themeShade="BF"/>
    </w:rPr>
  </w:style>
  <w:style w:type="paragraph" w:styleId="IntenseQuote">
    <w:name w:val="Intense Quote"/>
    <w:basedOn w:val="Normal"/>
    <w:next w:val="Normal"/>
    <w:link w:val="IntenseQuoteChar"/>
    <w:uiPriority w:val="30"/>
    <w:qFormat/>
    <w:rsid w:val="00276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34F"/>
    <w:rPr>
      <w:i/>
      <w:iCs/>
      <w:color w:val="2F5496" w:themeColor="accent1" w:themeShade="BF"/>
    </w:rPr>
  </w:style>
  <w:style w:type="character" w:styleId="IntenseReference">
    <w:name w:val="Intense Reference"/>
    <w:basedOn w:val="DefaultParagraphFont"/>
    <w:uiPriority w:val="32"/>
    <w:qFormat/>
    <w:rsid w:val="0027634F"/>
    <w:rPr>
      <w:b/>
      <w:bCs/>
      <w:smallCaps/>
      <w:color w:val="2F5496" w:themeColor="accent1" w:themeShade="BF"/>
      <w:spacing w:val="5"/>
    </w:rPr>
  </w:style>
  <w:style w:type="character" w:customStyle="1" w:styleId="s1">
    <w:name w:val="s1"/>
    <w:basedOn w:val="DefaultParagraphFont"/>
    <w:rsid w:val="0027634F"/>
  </w:style>
  <w:style w:type="paragraph" w:customStyle="1" w:styleId="p2">
    <w:name w:val="p2"/>
    <w:basedOn w:val="Normal"/>
    <w:rsid w:val="0027634F"/>
    <w:rPr>
      <w:rFonts w:ascii="Times New Roman" w:eastAsia="Times New Roman" w:hAnsi="Times New Roman" w:cs="Times New Roman"/>
      <w:kern w:val="0"/>
      <w14:ligatures w14:val="none"/>
    </w:rPr>
  </w:style>
  <w:style w:type="character" w:customStyle="1" w:styleId="s2">
    <w:name w:val="s2"/>
    <w:basedOn w:val="DefaultParagraphFont"/>
    <w:rsid w:val="0027634F"/>
  </w:style>
  <w:style w:type="paragraph" w:customStyle="1" w:styleId="p1">
    <w:name w:val="p1"/>
    <w:basedOn w:val="Normal"/>
    <w:rsid w:val="0027634F"/>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7634F"/>
  </w:style>
  <w:style w:type="paragraph" w:customStyle="1" w:styleId="p3">
    <w:name w:val="p3"/>
    <w:basedOn w:val="Normal"/>
    <w:rsid w:val="0027634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2291</Words>
  <Characters>13060</Characters>
  <Application>Microsoft Office Word</Application>
  <DocSecurity>0</DocSecurity>
  <Lines>108</Lines>
  <Paragraphs>30</Paragraphs>
  <ScaleCrop>false</ScaleCrop>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Stewart</dc:creator>
  <cp:keywords/>
  <dc:description/>
  <cp:lastModifiedBy>Joseph Stewart</cp:lastModifiedBy>
  <cp:revision>2</cp:revision>
  <dcterms:created xsi:type="dcterms:W3CDTF">2026-04-22T01:43:00Z</dcterms:created>
  <dcterms:modified xsi:type="dcterms:W3CDTF">2026-04-22T01:43:00Z</dcterms:modified>
</cp:coreProperties>
</file>