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7"/>
        <w:ind w:left="436" w:right="0" w:firstLine="0"/>
        <w:jc w:val="left"/>
        <w:rPr>
          <w:sz w:val="20"/>
        </w:rPr>
      </w:pPr>
      <w:r>
        <w:rPr>
          <w:sz w:val="20"/>
        </w:rPr>
        <mc:AlternateContent>
          <mc:Choice Requires="wps">
            <w:drawing>
              <wp:anchor distT="0" distB="0" distL="0" distR="0" allowOverlap="1" layoutInCell="1" locked="0" behindDoc="1" simplePos="0" relativeHeight="487279104">
                <wp:simplePos x="0" y="0"/>
                <wp:positionH relativeFrom="page">
                  <wp:posOffset>0</wp:posOffset>
                </wp:positionH>
                <wp:positionV relativeFrom="page">
                  <wp:posOffset>0</wp:posOffset>
                </wp:positionV>
                <wp:extent cx="7772400" cy="100584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772400" cy="10058400"/>
                          <a:chExt cx="7772400" cy="10058400"/>
                        </a:xfrm>
                      </wpg:grpSpPr>
                      <pic:pic>
                        <pic:nvPicPr>
                          <pic:cNvPr id="2" name="Image 2"/>
                          <pic:cNvPicPr/>
                        </pic:nvPicPr>
                        <pic:blipFill>
                          <a:blip r:embed="rId5" cstate="print"/>
                          <a:stretch>
                            <a:fillRect/>
                          </a:stretch>
                        </pic:blipFill>
                        <pic:spPr>
                          <a:xfrm>
                            <a:off x="0" y="0"/>
                            <a:ext cx="7772400" cy="10058400"/>
                          </a:xfrm>
                          <a:prstGeom prst="rect">
                            <a:avLst/>
                          </a:prstGeom>
                        </pic:spPr>
                      </pic:pic>
                      <pic:pic>
                        <pic:nvPicPr>
                          <pic:cNvPr id="3" name="Image 3"/>
                          <pic:cNvPicPr/>
                        </pic:nvPicPr>
                        <pic:blipFill>
                          <a:blip r:embed="rId6" cstate="print"/>
                          <a:stretch>
                            <a:fillRect/>
                          </a:stretch>
                        </pic:blipFill>
                        <pic:spPr>
                          <a:xfrm>
                            <a:off x="393191" y="9595713"/>
                            <a:ext cx="960119" cy="87782"/>
                          </a:xfrm>
                          <a:prstGeom prst="rect">
                            <a:avLst/>
                          </a:prstGeom>
                        </pic:spPr>
                      </pic:pic>
                    </wpg:wgp>
                  </a:graphicData>
                </a:graphic>
              </wp:anchor>
            </w:drawing>
          </mc:Choice>
          <mc:Fallback>
            <w:pict>
              <v:group style="position:absolute;margin-left:0pt;margin-top:0pt;width:612pt;height:792pt;mso-position-horizontal-relative:page;mso-position-vertical-relative:page;z-index:-16037376" id="docshapegroup1" coordorigin="0,0" coordsize="12240,15840">
                <v:shape style="position:absolute;left:0;top:0;width:12240;height:15840" type="#_x0000_t75" id="docshape2" stroked="false">
                  <v:imagedata r:id="rId5" o:title=""/>
                </v:shape>
                <v:shape style="position:absolute;left:619;top:15111;width:1512;height:139" type="#_x0000_t75" id="docshape3" stroked="false">
                  <v:imagedata r:id="rId6" o:title=""/>
                </v:shape>
                <w10:wrap type="none"/>
              </v:group>
            </w:pict>
          </mc:Fallback>
        </mc:AlternateContent>
      </w:r>
      <w:r>
        <w:rPr>
          <w:color w:val="4D565B"/>
          <w:sz w:val="20"/>
        </w:rPr>
        <w:t>March 30, </w:t>
      </w:r>
      <w:r>
        <w:rPr>
          <w:color w:val="4D565B"/>
          <w:spacing w:val="-4"/>
          <w:sz w:val="20"/>
        </w:rPr>
        <w:t>2026</w:t>
      </w:r>
    </w:p>
    <w:p>
      <w:pPr>
        <w:pStyle w:val="Heading1"/>
        <w:spacing w:line="242" w:lineRule="auto"/>
      </w:pPr>
      <w:r>
        <w:rPr>
          <w:color w:val="5B8C2B"/>
        </w:rPr>
        <w:t>Adrabetadex</w:t>
      </w:r>
      <w:r>
        <w:rPr>
          <w:color w:val="5B8C2B"/>
          <w:spacing w:val="-8"/>
        </w:rPr>
        <w:t> </w:t>
      </w:r>
      <w:r>
        <w:rPr>
          <w:color w:val="5B8C2B"/>
        </w:rPr>
        <w:t>Provider</w:t>
      </w:r>
      <w:r>
        <w:rPr>
          <w:color w:val="5B8C2B"/>
          <w:spacing w:val="-8"/>
        </w:rPr>
        <w:t> </w:t>
      </w:r>
      <w:r>
        <w:rPr>
          <w:color w:val="5B8C2B"/>
        </w:rPr>
        <w:t>Net</w:t>
      </w:r>
      <w:r>
        <w:rPr>
          <w:color w:val="5B8C2B"/>
          <w:spacing w:val="-8"/>
        </w:rPr>
        <w:t> </w:t>
      </w:r>
      <w:r>
        <w:rPr>
          <w:color w:val="5B8C2B"/>
        </w:rPr>
        <w:t>Cost</w:t>
      </w:r>
      <w:r>
        <w:rPr>
          <w:color w:val="5B8C2B"/>
          <w:spacing w:val="-8"/>
        </w:rPr>
        <w:t> </w:t>
      </w:r>
      <w:r>
        <w:rPr>
          <w:color w:val="5B8C2B"/>
        </w:rPr>
        <w:t>Calculator</w:t>
      </w:r>
      <w:r>
        <w:rPr>
          <w:color w:val="5B8C2B"/>
          <w:spacing w:val="-8"/>
        </w:rPr>
        <w:t> </w:t>
      </w:r>
      <w:r>
        <w:rPr>
          <w:color w:val="5B8C2B"/>
        </w:rPr>
        <w:t>Concept </w:t>
      </w:r>
      <w:r>
        <w:rPr>
          <w:color w:val="5B8C2B"/>
          <w:spacing w:val="-2"/>
        </w:rPr>
        <w:t>Brief</w:t>
      </w:r>
    </w:p>
    <w:p>
      <w:pPr>
        <w:pStyle w:val="Heading4"/>
        <w:spacing w:line="252" w:lineRule="auto"/>
      </w:pPr>
      <w:r>
        <w:rPr>
          <w:color w:val="4D565B"/>
        </w:rPr>
        <w:t>Prepared</w:t>
      </w:r>
      <w:r>
        <w:rPr>
          <w:color w:val="4D565B"/>
          <w:spacing w:val="-4"/>
        </w:rPr>
        <w:t> </w:t>
      </w:r>
      <w:r>
        <w:rPr>
          <w:color w:val="4D565B"/>
        </w:rPr>
        <w:t>for</w:t>
      </w:r>
      <w:r>
        <w:rPr>
          <w:color w:val="4D565B"/>
          <w:spacing w:val="-4"/>
        </w:rPr>
        <w:t> </w:t>
      </w:r>
      <w:r>
        <w:rPr>
          <w:color w:val="4D565B"/>
        </w:rPr>
        <w:t>the</w:t>
      </w:r>
      <w:r>
        <w:rPr>
          <w:color w:val="4D565B"/>
          <w:spacing w:val="-4"/>
        </w:rPr>
        <w:t> </w:t>
      </w:r>
      <w:r>
        <w:rPr>
          <w:color w:val="4D565B"/>
        </w:rPr>
        <w:t>Beren</w:t>
      </w:r>
      <w:r>
        <w:rPr>
          <w:color w:val="4D565B"/>
          <w:spacing w:val="-4"/>
        </w:rPr>
        <w:t> </w:t>
      </w:r>
      <w:r>
        <w:rPr>
          <w:color w:val="4D565B"/>
        </w:rPr>
        <w:t>Therapeutics</w:t>
      </w:r>
      <w:r>
        <w:rPr>
          <w:color w:val="4D565B"/>
          <w:spacing w:val="-4"/>
        </w:rPr>
        <w:t> </w:t>
      </w:r>
      <w:r>
        <w:rPr>
          <w:color w:val="4D565B"/>
        </w:rPr>
        <w:t>launch</w:t>
      </w:r>
      <w:r>
        <w:rPr>
          <w:color w:val="4D565B"/>
          <w:spacing w:val="-4"/>
        </w:rPr>
        <w:t> </w:t>
      </w:r>
      <w:r>
        <w:rPr>
          <w:color w:val="4D565B"/>
        </w:rPr>
        <w:t>team.</w:t>
      </w:r>
      <w:r>
        <w:rPr>
          <w:color w:val="4D565B"/>
          <w:spacing w:val="-4"/>
        </w:rPr>
        <w:t> </w:t>
      </w:r>
      <w:r>
        <w:rPr>
          <w:color w:val="4D565B"/>
        </w:rPr>
        <w:t>Audience:</w:t>
      </w:r>
      <w:r>
        <w:rPr>
          <w:color w:val="4D565B"/>
          <w:spacing w:val="-4"/>
        </w:rPr>
        <w:t> </w:t>
      </w:r>
      <w:r>
        <w:rPr>
          <w:color w:val="4D565B"/>
        </w:rPr>
        <w:t>internal</w:t>
      </w:r>
      <w:r>
        <w:rPr>
          <w:color w:val="4D565B"/>
          <w:spacing w:val="-4"/>
        </w:rPr>
        <w:t> </w:t>
      </w:r>
      <w:r>
        <w:rPr>
          <w:color w:val="4D565B"/>
        </w:rPr>
        <w:t>medical,</w:t>
      </w:r>
      <w:r>
        <w:rPr>
          <w:color w:val="4D565B"/>
          <w:spacing w:val="-4"/>
        </w:rPr>
        <w:t> </w:t>
      </w:r>
      <w:r>
        <w:rPr>
          <w:color w:val="4D565B"/>
        </w:rPr>
        <w:t>commercial,</w:t>
      </w:r>
      <w:r>
        <w:rPr>
          <w:color w:val="4D565B"/>
          <w:spacing w:val="-4"/>
        </w:rPr>
        <w:t> </w:t>
      </w:r>
      <w:r>
        <w:rPr>
          <w:color w:val="4D565B"/>
        </w:rPr>
        <w:t>market</w:t>
      </w:r>
      <w:r>
        <w:rPr>
          <w:color w:val="4D565B"/>
          <w:spacing w:val="-4"/>
        </w:rPr>
        <w:t> </w:t>
      </w:r>
      <w:r>
        <w:rPr>
          <w:color w:val="4D565B"/>
        </w:rPr>
        <w:t>access, and finance stakeholders.</w:t>
      </w:r>
    </w:p>
    <w:p>
      <w:pPr>
        <w:spacing w:line="280" w:lineRule="auto" w:before="159"/>
        <w:ind w:left="436" w:right="521" w:firstLine="0"/>
        <w:jc w:val="left"/>
        <w:rPr>
          <w:sz w:val="21"/>
        </w:rPr>
      </w:pPr>
      <w:r>
        <w:rPr>
          <w:color w:val="4D565B"/>
          <w:sz w:val="21"/>
        </w:rPr>
        <w:t>This</w:t>
      </w:r>
      <w:r>
        <w:rPr>
          <w:color w:val="4D565B"/>
          <w:spacing w:val="-1"/>
          <w:sz w:val="21"/>
        </w:rPr>
        <w:t> </w:t>
      </w:r>
      <w:r>
        <w:rPr>
          <w:color w:val="4D565B"/>
          <w:sz w:val="21"/>
        </w:rPr>
        <w:t>brief</w:t>
      </w:r>
      <w:r>
        <w:rPr>
          <w:color w:val="4D565B"/>
          <w:spacing w:val="-1"/>
          <w:sz w:val="21"/>
        </w:rPr>
        <w:t> </w:t>
      </w:r>
      <w:r>
        <w:rPr>
          <w:color w:val="4D565B"/>
          <w:sz w:val="21"/>
        </w:rPr>
        <w:t>explains</w:t>
      </w:r>
      <w:r>
        <w:rPr>
          <w:color w:val="4D565B"/>
          <w:spacing w:val="-1"/>
          <w:sz w:val="21"/>
        </w:rPr>
        <w:t> </w:t>
      </w:r>
      <w:r>
        <w:rPr>
          <w:color w:val="4D565B"/>
          <w:sz w:val="21"/>
        </w:rPr>
        <w:t>what</w:t>
      </w:r>
      <w:r>
        <w:rPr>
          <w:color w:val="4D565B"/>
          <w:spacing w:val="-1"/>
          <w:sz w:val="21"/>
        </w:rPr>
        <w:t> </w:t>
      </w:r>
      <w:r>
        <w:rPr>
          <w:color w:val="4D565B"/>
          <w:sz w:val="21"/>
        </w:rPr>
        <w:t>the</w:t>
      </w:r>
      <w:r>
        <w:rPr>
          <w:color w:val="4D565B"/>
          <w:spacing w:val="-1"/>
          <w:sz w:val="21"/>
        </w:rPr>
        <w:t> </w:t>
      </w:r>
      <w:r>
        <w:rPr>
          <w:color w:val="4D565B"/>
          <w:sz w:val="21"/>
        </w:rPr>
        <w:t>provider</w:t>
      </w:r>
      <w:r>
        <w:rPr>
          <w:color w:val="4D565B"/>
          <w:spacing w:val="-1"/>
          <w:sz w:val="21"/>
        </w:rPr>
        <w:t> </w:t>
      </w:r>
      <w:r>
        <w:rPr>
          <w:color w:val="4D565B"/>
          <w:sz w:val="21"/>
        </w:rPr>
        <w:t>net</w:t>
      </w:r>
      <w:r>
        <w:rPr>
          <w:color w:val="4D565B"/>
          <w:spacing w:val="-1"/>
          <w:sz w:val="21"/>
        </w:rPr>
        <w:t> </w:t>
      </w:r>
      <w:r>
        <w:rPr>
          <w:color w:val="4D565B"/>
          <w:sz w:val="21"/>
        </w:rPr>
        <w:t>cost</w:t>
      </w:r>
      <w:r>
        <w:rPr>
          <w:color w:val="4D565B"/>
          <w:spacing w:val="-1"/>
          <w:sz w:val="21"/>
        </w:rPr>
        <w:t> </w:t>
      </w:r>
      <w:r>
        <w:rPr>
          <w:color w:val="4D565B"/>
          <w:sz w:val="21"/>
        </w:rPr>
        <w:t>calculator</w:t>
      </w:r>
      <w:r>
        <w:rPr>
          <w:color w:val="4D565B"/>
          <w:spacing w:val="-1"/>
          <w:sz w:val="21"/>
        </w:rPr>
        <w:t> </w:t>
      </w:r>
      <w:r>
        <w:rPr>
          <w:color w:val="4D565B"/>
          <w:sz w:val="21"/>
        </w:rPr>
        <w:t>is,</w:t>
      </w:r>
      <w:r>
        <w:rPr>
          <w:color w:val="4D565B"/>
          <w:spacing w:val="-1"/>
          <w:sz w:val="21"/>
        </w:rPr>
        <w:t> </w:t>
      </w:r>
      <w:r>
        <w:rPr>
          <w:color w:val="4D565B"/>
          <w:sz w:val="21"/>
        </w:rPr>
        <w:t>why</w:t>
      </w:r>
      <w:r>
        <w:rPr>
          <w:color w:val="4D565B"/>
          <w:spacing w:val="-1"/>
          <w:sz w:val="21"/>
        </w:rPr>
        <w:t> </w:t>
      </w:r>
      <w:r>
        <w:rPr>
          <w:color w:val="4D565B"/>
          <w:sz w:val="21"/>
        </w:rPr>
        <w:t>it</w:t>
      </w:r>
      <w:r>
        <w:rPr>
          <w:color w:val="4D565B"/>
          <w:spacing w:val="-1"/>
          <w:sz w:val="21"/>
        </w:rPr>
        <w:t> </w:t>
      </w:r>
      <w:r>
        <w:rPr>
          <w:color w:val="4D565B"/>
          <w:sz w:val="21"/>
        </w:rPr>
        <w:t>matters,</w:t>
      </w:r>
      <w:r>
        <w:rPr>
          <w:color w:val="4D565B"/>
          <w:spacing w:val="-1"/>
          <w:sz w:val="21"/>
        </w:rPr>
        <w:t> </w:t>
      </w:r>
      <w:r>
        <w:rPr>
          <w:color w:val="4D565B"/>
          <w:sz w:val="21"/>
        </w:rPr>
        <w:t>how</w:t>
      </w:r>
      <w:r>
        <w:rPr>
          <w:color w:val="4D565B"/>
          <w:spacing w:val="-1"/>
          <w:sz w:val="21"/>
        </w:rPr>
        <w:t> </w:t>
      </w:r>
      <w:r>
        <w:rPr>
          <w:color w:val="4D565B"/>
          <w:sz w:val="21"/>
        </w:rPr>
        <w:t>it</w:t>
      </w:r>
      <w:r>
        <w:rPr>
          <w:color w:val="4D565B"/>
          <w:spacing w:val="-1"/>
          <w:sz w:val="21"/>
        </w:rPr>
        <w:t> </w:t>
      </w:r>
      <w:r>
        <w:rPr>
          <w:color w:val="4D565B"/>
          <w:sz w:val="21"/>
        </w:rPr>
        <w:t>will</w:t>
      </w:r>
      <w:r>
        <w:rPr>
          <w:color w:val="4D565B"/>
          <w:spacing w:val="-1"/>
          <w:sz w:val="21"/>
        </w:rPr>
        <w:t> </w:t>
      </w:r>
      <w:r>
        <w:rPr>
          <w:color w:val="4D565B"/>
          <w:sz w:val="21"/>
        </w:rPr>
        <w:t>work,</w:t>
      </w:r>
      <w:r>
        <w:rPr>
          <w:color w:val="4D565B"/>
          <w:spacing w:val="-1"/>
          <w:sz w:val="21"/>
        </w:rPr>
        <w:t> </w:t>
      </w:r>
      <w:r>
        <w:rPr>
          <w:color w:val="4D565B"/>
          <w:sz w:val="21"/>
        </w:rPr>
        <w:t>what</w:t>
      </w:r>
      <w:r>
        <w:rPr>
          <w:color w:val="4D565B"/>
          <w:spacing w:val="-1"/>
          <w:sz w:val="21"/>
        </w:rPr>
        <w:t> </w:t>
      </w:r>
      <w:r>
        <w:rPr>
          <w:color w:val="4D565B"/>
          <w:sz w:val="21"/>
        </w:rPr>
        <w:t>form</w:t>
      </w:r>
      <w:r>
        <w:rPr>
          <w:color w:val="4D565B"/>
          <w:spacing w:val="-1"/>
          <w:sz w:val="21"/>
        </w:rPr>
        <w:t> </w:t>
      </w:r>
      <w:r>
        <w:rPr>
          <w:color w:val="4D565B"/>
          <w:sz w:val="21"/>
        </w:rPr>
        <w:t>it</w:t>
      </w:r>
      <w:r>
        <w:rPr>
          <w:color w:val="4D565B"/>
          <w:spacing w:val="-1"/>
          <w:sz w:val="21"/>
        </w:rPr>
        <w:t> </w:t>
      </w:r>
      <w:r>
        <w:rPr>
          <w:color w:val="4D565B"/>
          <w:sz w:val="21"/>
        </w:rPr>
        <w:t>will take,</w:t>
      </w:r>
      <w:r>
        <w:rPr>
          <w:color w:val="4D565B"/>
          <w:spacing w:val="-7"/>
          <w:sz w:val="21"/>
        </w:rPr>
        <w:t> </w:t>
      </w:r>
      <w:r>
        <w:rPr>
          <w:color w:val="4D565B"/>
          <w:sz w:val="21"/>
        </w:rPr>
        <w:t>and</w:t>
      </w:r>
      <w:r>
        <w:rPr>
          <w:color w:val="4D565B"/>
          <w:spacing w:val="-7"/>
          <w:sz w:val="21"/>
        </w:rPr>
        <w:t> </w:t>
      </w:r>
      <w:r>
        <w:rPr>
          <w:color w:val="4D565B"/>
          <w:sz w:val="21"/>
        </w:rPr>
        <w:t>which</w:t>
      </w:r>
      <w:r>
        <w:rPr>
          <w:color w:val="4D565B"/>
          <w:spacing w:val="-7"/>
          <w:sz w:val="21"/>
        </w:rPr>
        <w:t> </w:t>
      </w:r>
      <w:r>
        <w:rPr>
          <w:color w:val="4D565B"/>
          <w:sz w:val="21"/>
        </w:rPr>
        <w:t>public</w:t>
      </w:r>
      <w:r>
        <w:rPr>
          <w:color w:val="4D565B"/>
          <w:spacing w:val="-7"/>
          <w:sz w:val="21"/>
        </w:rPr>
        <w:t> </w:t>
      </w:r>
      <w:r>
        <w:rPr>
          <w:color w:val="4D565B"/>
          <w:sz w:val="21"/>
        </w:rPr>
        <w:t>reimbursement</w:t>
      </w:r>
      <w:r>
        <w:rPr>
          <w:color w:val="4D565B"/>
          <w:spacing w:val="-7"/>
          <w:sz w:val="21"/>
        </w:rPr>
        <w:t> </w:t>
      </w:r>
      <w:r>
        <w:rPr>
          <w:color w:val="4D565B"/>
          <w:sz w:val="21"/>
        </w:rPr>
        <w:t>rules</w:t>
      </w:r>
      <w:r>
        <w:rPr>
          <w:color w:val="4D565B"/>
          <w:spacing w:val="-7"/>
          <w:sz w:val="21"/>
        </w:rPr>
        <w:t> </w:t>
      </w:r>
      <w:r>
        <w:rPr>
          <w:color w:val="4D565B"/>
          <w:sz w:val="21"/>
        </w:rPr>
        <w:t>and</w:t>
      </w:r>
      <w:r>
        <w:rPr>
          <w:color w:val="4D565B"/>
          <w:spacing w:val="-7"/>
          <w:sz w:val="21"/>
        </w:rPr>
        <w:t> </w:t>
      </w:r>
      <w:r>
        <w:rPr>
          <w:color w:val="4D565B"/>
          <w:sz w:val="21"/>
        </w:rPr>
        <w:t>launch</w:t>
      </w:r>
      <w:r>
        <w:rPr>
          <w:color w:val="4D565B"/>
          <w:spacing w:val="-7"/>
          <w:sz w:val="21"/>
        </w:rPr>
        <w:t> </w:t>
      </w:r>
      <w:r>
        <w:rPr>
          <w:color w:val="4D565B"/>
          <w:sz w:val="21"/>
        </w:rPr>
        <w:t>frictions</w:t>
      </w:r>
      <w:r>
        <w:rPr>
          <w:color w:val="4D565B"/>
          <w:spacing w:val="-7"/>
          <w:sz w:val="21"/>
        </w:rPr>
        <w:t> </w:t>
      </w:r>
      <w:r>
        <w:rPr>
          <w:color w:val="4D565B"/>
          <w:sz w:val="21"/>
        </w:rPr>
        <w:t>it</w:t>
      </w:r>
      <w:r>
        <w:rPr>
          <w:color w:val="4D565B"/>
          <w:spacing w:val="-7"/>
          <w:sz w:val="21"/>
        </w:rPr>
        <w:t> </w:t>
      </w:r>
      <w:r>
        <w:rPr>
          <w:color w:val="4D565B"/>
          <w:sz w:val="21"/>
        </w:rPr>
        <w:t>needs</w:t>
      </w:r>
      <w:r>
        <w:rPr>
          <w:color w:val="4D565B"/>
          <w:spacing w:val="-7"/>
          <w:sz w:val="21"/>
        </w:rPr>
        <w:t> </w:t>
      </w:r>
      <w:r>
        <w:rPr>
          <w:color w:val="4D565B"/>
          <w:sz w:val="21"/>
        </w:rPr>
        <w:t>to</w:t>
      </w:r>
      <w:r>
        <w:rPr>
          <w:color w:val="4D565B"/>
          <w:spacing w:val="-7"/>
          <w:sz w:val="21"/>
        </w:rPr>
        <w:t> </w:t>
      </w:r>
      <w:r>
        <w:rPr>
          <w:color w:val="4D565B"/>
          <w:sz w:val="21"/>
        </w:rPr>
        <w:t>capture.</w:t>
      </w:r>
      <w:r>
        <w:rPr>
          <w:color w:val="4D565B"/>
          <w:spacing w:val="-7"/>
          <w:sz w:val="21"/>
        </w:rPr>
        <w:t> </w:t>
      </w:r>
      <w:r>
        <w:rPr>
          <w:color w:val="4D565B"/>
          <w:sz w:val="21"/>
        </w:rPr>
        <w:t>The</w:t>
      </w:r>
      <w:r>
        <w:rPr>
          <w:color w:val="4D565B"/>
          <w:spacing w:val="-7"/>
          <w:sz w:val="21"/>
        </w:rPr>
        <w:t> </w:t>
      </w:r>
      <w:r>
        <w:rPr>
          <w:color w:val="4D565B"/>
          <w:sz w:val="21"/>
        </w:rPr>
        <w:t>core</w:t>
      </w:r>
      <w:r>
        <w:rPr>
          <w:color w:val="4D565B"/>
          <w:spacing w:val="-7"/>
          <w:sz w:val="21"/>
        </w:rPr>
        <w:t> </w:t>
      </w:r>
      <w:r>
        <w:rPr>
          <w:color w:val="4D565B"/>
          <w:sz w:val="21"/>
        </w:rPr>
        <w:t>conclusion</w:t>
      </w:r>
      <w:r>
        <w:rPr>
          <w:color w:val="4D565B"/>
          <w:spacing w:val="-7"/>
          <w:sz w:val="21"/>
        </w:rPr>
        <w:t> </w:t>
      </w:r>
      <w:r>
        <w:rPr>
          <w:color w:val="4D565B"/>
          <w:sz w:val="21"/>
        </w:rPr>
        <w:t>is straightforward:</w:t>
      </w:r>
      <w:r>
        <w:rPr>
          <w:color w:val="4D565B"/>
          <w:spacing w:val="-11"/>
          <w:sz w:val="21"/>
        </w:rPr>
        <w:t> </w:t>
      </w:r>
      <w:r>
        <w:rPr>
          <w:color w:val="4D565B"/>
          <w:sz w:val="21"/>
        </w:rPr>
        <w:t>adrabetadex's</w:t>
      </w:r>
      <w:r>
        <w:rPr>
          <w:color w:val="4D565B"/>
          <w:spacing w:val="-11"/>
          <w:sz w:val="21"/>
        </w:rPr>
        <w:t> </w:t>
      </w:r>
      <w:r>
        <w:rPr>
          <w:color w:val="4D565B"/>
          <w:sz w:val="21"/>
        </w:rPr>
        <w:t>mortality</w:t>
      </w:r>
      <w:r>
        <w:rPr>
          <w:color w:val="4D565B"/>
          <w:spacing w:val="-11"/>
          <w:sz w:val="21"/>
        </w:rPr>
        <w:t> </w:t>
      </w:r>
      <w:r>
        <w:rPr>
          <w:color w:val="4D565B"/>
          <w:sz w:val="21"/>
        </w:rPr>
        <w:t>benefit</w:t>
      </w:r>
      <w:r>
        <w:rPr>
          <w:color w:val="4D565B"/>
          <w:spacing w:val="-11"/>
          <w:sz w:val="21"/>
        </w:rPr>
        <w:t> </w:t>
      </w:r>
      <w:r>
        <w:rPr>
          <w:color w:val="4D565B"/>
          <w:sz w:val="21"/>
        </w:rPr>
        <w:t>supports</w:t>
      </w:r>
      <w:r>
        <w:rPr>
          <w:color w:val="4D565B"/>
          <w:spacing w:val="-11"/>
          <w:sz w:val="21"/>
        </w:rPr>
        <w:t> </w:t>
      </w:r>
      <w:r>
        <w:rPr>
          <w:color w:val="4D565B"/>
          <w:sz w:val="21"/>
        </w:rPr>
        <w:t>a</w:t>
      </w:r>
      <w:r>
        <w:rPr>
          <w:color w:val="4D565B"/>
          <w:spacing w:val="-11"/>
          <w:sz w:val="21"/>
        </w:rPr>
        <w:t> </w:t>
      </w:r>
      <w:r>
        <w:rPr>
          <w:color w:val="4D565B"/>
          <w:sz w:val="21"/>
        </w:rPr>
        <w:t>compelling</w:t>
      </w:r>
      <w:r>
        <w:rPr>
          <w:color w:val="4D565B"/>
          <w:spacing w:val="-11"/>
          <w:sz w:val="21"/>
        </w:rPr>
        <w:t> </w:t>
      </w:r>
      <w:r>
        <w:rPr>
          <w:color w:val="4D565B"/>
          <w:sz w:val="21"/>
        </w:rPr>
        <w:t>clinical</w:t>
      </w:r>
      <w:r>
        <w:rPr>
          <w:color w:val="4D565B"/>
          <w:spacing w:val="-11"/>
          <w:sz w:val="21"/>
        </w:rPr>
        <w:t> </w:t>
      </w:r>
      <w:r>
        <w:rPr>
          <w:color w:val="4D565B"/>
          <w:sz w:val="21"/>
        </w:rPr>
        <w:t>story,</w:t>
      </w:r>
      <w:r>
        <w:rPr>
          <w:color w:val="4D565B"/>
          <w:spacing w:val="-11"/>
          <w:sz w:val="21"/>
        </w:rPr>
        <w:t> </w:t>
      </w:r>
      <w:r>
        <w:rPr>
          <w:color w:val="4D565B"/>
          <w:sz w:val="21"/>
        </w:rPr>
        <w:t>but</w:t>
      </w:r>
      <w:r>
        <w:rPr>
          <w:color w:val="4D565B"/>
          <w:spacing w:val="-11"/>
          <w:sz w:val="21"/>
        </w:rPr>
        <w:t> </w:t>
      </w:r>
      <w:r>
        <w:rPr>
          <w:color w:val="4D565B"/>
          <w:sz w:val="21"/>
        </w:rPr>
        <w:t>provider</w:t>
      </w:r>
      <w:r>
        <w:rPr>
          <w:color w:val="4D565B"/>
          <w:spacing w:val="-11"/>
          <w:sz w:val="21"/>
        </w:rPr>
        <w:t> </w:t>
      </w:r>
      <w:r>
        <w:rPr>
          <w:color w:val="4D565B"/>
          <w:sz w:val="21"/>
        </w:rPr>
        <w:t>uptake</w:t>
      </w:r>
      <w:r>
        <w:rPr>
          <w:color w:val="4D565B"/>
          <w:spacing w:val="-11"/>
          <w:sz w:val="21"/>
        </w:rPr>
        <w:t> </w:t>
      </w:r>
      <w:r>
        <w:rPr>
          <w:color w:val="4D565B"/>
          <w:sz w:val="21"/>
        </w:rPr>
        <w:t>will still depend on the economics of buy-and-bill, white-bagging, 340B acquisition, Medicaid claim integrity, HCPCS timing, and hospital and PBM contracting decisions. [1][2][4][5][6][7][8][9][10][11]</w:t>
      </w:r>
    </w:p>
    <w:p>
      <w:pPr>
        <w:pStyle w:val="BodyText"/>
        <w:spacing w:before="27"/>
        <w:rPr>
          <w:sz w:val="20"/>
        </w:rPr>
      </w:pPr>
    </w:p>
    <w:p>
      <w:pPr>
        <w:pStyle w:val="Heading3"/>
      </w:pPr>
      <w:r>
        <w:rPr>
          <w:color w:val="5B8C2B"/>
        </w:rPr>
        <w:t>How the calculator </w:t>
      </w:r>
      <w:r>
        <w:rPr>
          <w:color w:val="5B8C2B"/>
          <w:spacing w:val="-2"/>
        </w:rPr>
        <w:t>works</w:t>
      </w:r>
    </w:p>
    <w:p>
      <w:pPr>
        <w:pStyle w:val="BodyText"/>
        <w:spacing w:before="10"/>
        <w:rPr>
          <w:b/>
          <w:sz w:val="6"/>
        </w:rPr>
      </w:pPr>
      <w:r>
        <w:rPr>
          <w:b/>
          <w:sz w:val="6"/>
        </w:rPr>
        <mc:AlternateContent>
          <mc:Choice Requires="wps">
            <w:drawing>
              <wp:anchor distT="0" distB="0" distL="0" distR="0" allowOverlap="1" layoutInCell="1" locked="0" behindDoc="1" simplePos="0" relativeHeight="487587840">
                <wp:simplePos x="0" y="0"/>
                <wp:positionH relativeFrom="page">
                  <wp:posOffset>729487</wp:posOffset>
                </wp:positionH>
                <wp:positionV relativeFrom="paragraph">
                  <wp:posOffset>67330</wp:posOffset>
                </wp:positionV>
                <wp:extent cx="5344160" cy="1305560"/>
                <wp:effectExtent l="0" t="0" r="0" b="0"/>
                <wp:wrapTopAndBottom/>
                <wp:docPr id="4" name="Group 4"/>
                <wp:cNvGraphicFramePr>
                  <a:graphicFrameLocks/>
                </wp:cNvGraphicFramePr>
                <a:graphic>
                  <a:graphicData uri="http://schemas.microsoft.com/office/word/2010/wordprocessingGroup">
                    <wpg:wgp>
                      <wpg:cNvPr id="4" name="Group 4"/>
                      <wpg:cNvGrpSpPr/>
                      <wpg:grpSpPr>
                        <a:xfrm>
                          <a:off x="0" y="0"/>
                          <a:ext cx="5344160" cy="1305560"/>
                          <a:chExt cx="5344160" cy="1305560"/>
                        </a:xfrm>
                      </wpg:grpSpPr>
                      <wps:wsp>
                        <wps:cNvPr id="5" name="Graphic 5"/>
                        <wps:cNvSpPr/>
                        <wps:spPr>
                          <a:xfrm>
                            <a:off x="5080" y="5080"/>
                            <a:ext cx="1206500" cy="533400"/>
                          </a:xfrm>
                          <a:custGeom>
                            <a:avLst/>
                            <a:gdLst/>
                            <a:ahLst/>
                            <a:cxnLst/>
                            <a:rect l="l" t="t" r="r" b="b"/>
                            <a:pathLst>
                              <a:path w="1206500" h="533400">
                                <a:moveTo>
                                  <a:pt x="1104900" y="0"/>
                                </a:moveTo>
                                <a:lnTo>
                                  <a:pt x="101600" y="0"/>
                                </a:lnTo>
                                <a:lnTo>
                                  <a:pt x="62030" y="7976"/>
                                </a:lnTo>
                                <a:lnTo>
                                  <a:pt x="29738" y="29738"/>
                                </a:lnTo>
                                <a:lnTo>
                                  <a:pt x="7976" y="62030"/>
                                </a:lnTo>
                                <a:lnTo>
                                  <a:pt x="0" y="101600"/>
                                </a:lnTo>
                                <a:lnTo>
                                  <a:pt x="0" y="431800"/>
                                </a:lnTo>
                                <a:lnTo>
                                  <a:pt x="7976" y="471369"/>
                                </a:lnTo>
                                <a:lnTo>
                                  <a:pt x="29738" y="503661"/>
                                </a:lnTo>
                                <a:lnTo>
                                  <a:pt x="62030" y="525423"/>
                                </a:lnTo>
                                <a:lnTo>
                                  <a:pt x="101600" y="533400"/>
                                </a:lnTo>
                                <a:lnTo>
                                  <a:pt x="1104900" y="533400"/>
                                </a:lnTo>
                                <a:lnTo>
                                  <a:pt x="1144469" y="525423"/>
                                </a:lnTo>
                                <a:lnTo>
                                  <a:pt x="1176761" y="503661"/>
                                </a:lnTo>
                                <a:lnTo>
                                  <a:pt x="1198523" y="471369"/>
                                </a:lnTo>
                                <a:lnTo>
                                  <a:pt x="1206500" y="431800"/>
                                </a:lnTo>
                                <a:lnTo>
                                  <a:pt x="1206500" y="101600"/>
                                </a:lnTo>
                                <a:lnTo>
                                  <a:pt x="1198523" y="62030"/>
                                </a:lnTo>
                                <a:lnTo>
                                  <a:pt x="1176761" y="29738"/>
                                </a:lnTo>
                                <a:lnTo>
                                  <a:pt x="1144469" y="7976"/>
                                </a:lnTo>
                                <a:lnTo>
                                  <a:pt x="1104900" y="0"/>
                                </a:lnTo>
                                <a:close/>
                              </a:path>
                            </a:pathLst>
                          </a:custGeom>
                          <a:solidFill>
                            <a:srgbClr val="EDF4E6"/>
                          </a:solidFill>
                        </wps:spPr>
                        <wps:bodyPr wrap="square" lIns="0" tIns="0" rIns="0" bIns="0" rtlCol="0">
                          <a:prstTxWarp prst="textNoShape">
                            <a:avLst/>
                          </a:prstTxWarp>
                          <a:noAutofit/>
                        </wps:bodyPr>
                      </wps:wsp>
                      <wps:wsp>
                        <wps:cNvPr id="6" name="Graphic 6"/>
                        <wps:cNvSpPr/>
                        <wps:spPr>
                          <a:xfrm>
                            <a:off x="5080" y="5080"/>
                            <a:ext cx="1206500" cy="533400"/>
                          </a:xfrm>
                          <a:custGeom>
                            <a:avLst/>
                            <a:gdLst/>
                            <a:ahLst/>
                            <a:cxnLst/>
                            <a:rect l="l" t="t" r="r" b="b"/>
                            <a:pathLst>
                              <a:path w="1206500" h="533400">
                                <a:moveTo>
                                  <a:pt x="101600" y="533400"/>
                                </a:moveTo>
                                <a:lnTo>
                                  <a:pt x="1104900" y="533400"/>
                                </a:lnTo>
                                <a:lnTo>
                                  <a:pt x="1144469" y="525423"/>
                                </a:lnTo>
                                <a:lnTo>
                                  <a:pt x="1176761" y="503661"/>
                                </a:lnTo>
                                <a:lnTo>
                                  <a:pt x="1198523" y="471369"/>
                                </a:lnTo>
                                <a:lnTo>
                                  <a:pt x="1206500" y="431800"/>
                                </a:lnTo>
                                <a:lnTo>
                                  <a:pt x="1206500" y="101600"/>
                                </a:lnTo>
                                <a:lnTo>
                                  <a:pt x="1198523" y="62030"/>
                                </a:lnTo>
                                <a:lnTo>
                                  <a:pt x="1176761" y="29738"/>
                                </a:lnTo>
                                <a:lnTo>
                                  <a:pt x="1144469" y="7976"/>
                                </a:lnTo>
                                <a:lnTo>
                                  <a:pt x="1104900" y="0"/>
                                </a:lnTo>
                                <a:lnTo>
                                  <a:pt x="101600" y="0"/>
                                </a:lnTo>
                                <a:lnTo>
                                  <a:pt x="62030" y="7976"/>
                                </a:lnTo>
                                <a:lnTo>
                                  <a:pt x="29738" y="29738"/>
                                </a:lnTo>
                                <a:lnTo>
                                  <a:pt x="7976" y="62030"/>
                                </a:lnTo>
                                <a:lnTo>
                                  <a:pt x="0" y="101600"/>
                                </a:lnTo>
                                <a:lnTo>
                                  <a:pt x="0" y="431800"/>
                                </a:lnTo>
                                <a:lnTo>
                                  <a:pt x="7976" y="471369"/>
                                </a:lnTo>
                                <a:lnTo>
                                  <a:pt x="29738" y="503661"/>
                                </a:lnTo>
                                <a:lnTo>
                                  <a:pt x="62030" y="525423"/>
                                </a:lnTo>
                                <a:lnTo>
                                  <a:pt x="101600" y="533400"/>
                                </a:lnTo>
                                <a:close/>
                              </a:path>
                            </a:pathLst>
                          </a:custGeom>
                          <a:ln w="10160">
                            <a:solidFill>
                              <a:srgbClr val="C8D3BF"/>
                            </a:solidFill>
                            <a:prstDash val="solid"/>
                          </a:ln>
                        </wps:spPr>
                        <wps:bodyPr wrap="square" lIns="0" tIns="0" rIns="0" bIns="0" rtlCol="0">
                          <a:prstTxWarp prst="textNoShape">
                            <a:avLst/>
                          </a:prstTxWarp>
                          <a:noAutofit/>
                        </wps:bodyPr>
                      </wps:wsp>
                      <wps:wsp>
                        <wps:cNvPr id="7" name="Graphic 7"/>
                        <wps:cNvSpPr/>
                        <wps:spPr>
                          <a:xfrm>
                            <a:off x="1376680" y="5080"/>
                            <a:ext cx="1206500" cy="533400"/>
                          </a:xfrm>
                          <a:custGeom>
                            <a:avLst/>
                            <a:gdLst/>
                            <a:ahLst/>
                            <a:cxnLst/>
                            <a:rect l="l" t="t" r="r" b="b"/>
                            <a:pathLst>
                              <a:path w="1206500" h="533400">
                                <a:moveTo>
                                  <a:pt x="1104900" y="0"/>
                                </a:moveTo>
                                <a:lnTo>
                                  <a:pt x="101600" y="0"/>
                                </a:lnTo>
                                <a:lnTo>
                                  <a:pt x="62030" y="7976"/>
                                </a:lnTo>
                                <a:lnTo>
                                  <a:pt x="29738" y="29738"/>
                                </a:lnTo>
                                <a:lnTo>
                                  <a:pt x="7976" y="62030"/>
                                </a:lnTo>
                                <a:lnTo>
                                  <a:pt x="0" y="101600"/>
                                </a:lnTo>
                                <a:lnTo>
                                  <a:pt x="0" y="431800"/>
                                </a:lnTo>
                                <a:lnTo>
                                  <a:pt x="7976" y="471369"/>
                                </a:lnTo>
                                <a:lnTo>
                                  <a:pt x="29738" y="503661"/>
                                </a:lnTo>
                                <a:lnTo>
                                  <a:pt x="62030" y="525423"/>
                                </a:lnTo>
                                <a:lnTo>
                                  <a:pt x="101600" y="533400"/>
                                </a:lnTo>
                                <a:lnTo>
                                  <a:pt x="1104900" y="533400"/>
                                </a:lnTo>
                                <a:lnTo>
                                  <a:pt x="1144469" y="525423"/>
                                </a:lnTo>
                                <a:lnTo>
                                  <a:pt x="1176761" y="503661"/>
                                </a:lnTo>
                                <a:lnTo>
                                  <a:pt x="1198523" y="471369"/>
                                </a:lnTo>
                                <a:lnTo>
                                  <a:pt x="1206500" y="431800"/>
                                </a:lnTo>
                                <a:lnTo>
                                  <a:pt x="1206500" y="101600"/>
                                </a:lnTo>
                                <a:lnTo>
                                  <a:pt x="1198523" y="62030"/>
                                </a:lnTo>
                                <a:lnTo>
                                  <a:pt x="1176761" y="29738"/>
                                </a:lnTo>
                                <a:lnTo>
                                  <a:pt x="1144469" y="7976"/>
                                </a:lnTo>
                                <a:lnTo>
                                  <a:pt x="1104900" y="0"/>
                                </a:lnTo>
                                <a:close/>
                              </a:path>
                            </a:pathLst>
                          </a:custGeom>
                          <a:solidFill>
                            <a:srgbClr val="FFFFFF"/>
                          </a:solidFill>
                        </wps:spPr>
                        <wps:bodyPr wrap="square" lIns="0" tIns="0" rIns="0" bIns="0" rtlCol="0">
                          <a:prstTxWarp prst="textNoShape">
                            <a:avLst/>
                          </a:prstTxWarp>
                          <a:noAutofit/>
                        </wps:bodyPr>
                      </wps:wsp>
                      <wps:wsp>
                        <wps:cNvPr id="8" name="Graphic 8"/>
                        <wps:cNvSpPr/>
                        <wps:spPr>
                          <a:xfrm>
                            <a:off x="1376680" y="5080"/>
                            <a:ext cx="1206500" cy="533400"/>
                          </a:xfrm>
                          <a:custGeom>
                            <a:avLst/>
                            <a:gdLst/>
                            <a:ahLst/>
                            <a:cxnLst/>
                            <a:rect l="l" t="t" r="r" b="b"/>
                            <a:pathLst>
                              <a:path w="1206500" h="533400">
                                <a:moveTo>
                                  <a:pt x="101600" y="533400"/>
                                </a:moveTo>
                                <a:lnTo>
                                  <a:pt x="1104900" y="533400"/>
                                </a:lnTo>
                                <a:lnTo>
                                  <a:pt x="1144469" y="525423"/>
                                </a:lnTo>
                                <a:lnTo>
                                  <a:pt x="1176761" y="503661"/>
                                </a:lnTo>
                                <a:lnTo>
                                  <a:pt x="1198523" y="471369"/>
                                </a:lnTo>
                                <a:lnTo>
                                  <a:pt x="1206500" y="431800"/>
                                </a:lnTo>
                                <a:lnTo>
                                  <a:pt x="1206500" y="101600"/>
                                </a:lnTo>
                                <a:lnTo>
                                  <a:pt x="1198523" y="62030"/>
                                </a:lnTo>
                                <a:lnTo>
                                  <a:pt x="1176761" y="29738"/>
                                </a:lnTo>
                                <a:lnTo>
                                  <a:pt x="1144469" y="7976"/>
                                </a:lnTo>
                                <a:lnTo>
                                  <a:pt x="1104900" y="0"/>
                                </a:lnTo>
                                <a:lnTo>
                                  <a:pt x="101600" y="0"/>
                                </a:lnTo>
                                <a:lnTo>
                                  <a:pt x="62030" y="7976"/>
                                </a:lnTo>
                                <a:lnTo>
                                  <a:pt x="29738" y="29738"/>
                                </a:lnTo>
                                <a:lnTo>
                                  <a:pt x="7976" y="62030"/>
                                </a:lnTo>
                                <a:lnTo>
                                  <a:pt x="0" y="101600"/>
                                </a:lnTo>
                                <a:lnTo>
                                  <a:pt x="0" y="431800"/>
                                </a:lnTo>
                                <a:lnTo>
                                  <a:pt x="7976" y="471369"/>
                                </a:lnTo>
                                <a:lnTo>
                                  <a:pt x="29738" y="503661"/>
                                </a:lnTo>
                                <a:lnTo>
                                  <a:pt x="62030" y="525423"/>
                                </a:lnTo>
                                <a:lnTo>
                                  <a:pt x="101600" y="533400"/>
                                </a:lnTo>
                                <a:close/>
                              </a:path>
                            </a:pathLst>
                          </a:custGeom>
                          <a:ln w="10160">
                            <a:solidFill>
                              <a:srgbClr val="C8D3BF"/>
                            </a:solidFill>
                            <a:prstDash val="solid"/>
                          </a:ln>
                        </wps:spPr>
                        <wps:bodyPr wrap="square" lIns="0" tIns="0" rIns="0" bIns="0" rtlCol="0">
                          <a:prstTxWarp prst="textNoShape">
                            <a:avLst/>
                          </a:prstTxWarp>
                          <a:noAutofit/>
                        </wps:bodyPr>
                      </wps:wsp>
                      <wps:wsp>
                        <wps:cNvPr id="9" name="Graphic 9"/>
                        <wps:cNvSpPr/>
                        <wps:spPr>
                          <a:xfrm>
                            <a:off x="2748279" y="5080"/>
                            <a:ext cx="1206500" cy="533400"/>
                          </a:xfrm>
                          <a:custGeom>
                            <a:avLst/>
                            <a:gdLst/>
                            <a:ahLst/>
                            <a:cxnLst/>
                            <a:rect l="l" t="t" r="r" b="b"/>
                            <a:pathLst>
                              <a:path w="1206500" h="533400">
                                <a:moveTo>
                                  <a:pt x="1104899" y="0"/>
                                </a:moveTo>
                                <a:lnTo>
                                  <a:pt x="101599" y="0"/>
                                </a:lnTo>
                                <a:lnTo>
                                  <a:pt x="62030" y="7976"/>
                                </a:lnTo>
                                <a:lnTo>
                                  <a:pt x="29738" y="29738"/>
                                </a:lnTo>
                                <a:lnTo>
                                  <a:pt x="7976" y="62030"/>
                                </a:lnTo>
                                <a:lnTo>
                                  <a:pt x="0" y="101600"/>
                                </a:lnTo>
                                <a:lnTo>
                                  <a:pt x="0" y="431800"/>
                                </a:lnTo>
                                <a:lnTo>
                                  <a:pt x="7976" y="471369"/>
                                </a:lnTo>
                                <a:lnTo>
                                  <a:pt x="29738" y="503661"/>
                                </a:lnTo>
                                <a:lnTo>
                                  <a:pt x="62030" y="525423"/>
                                </a:lnTo>
                                <a:lnTo>
                                  <a:pt x="101599" y="533400"/>
                                </a:lnTo>
                                <a:lnTo>
                                  <a:pt x="1104899" y="533400"/>
                                </a:lnTo>
                                <a:lnTo>
                                  <a:pt x="1144469" y="525423"/>
                                </a:lnTo>
                                <a:lnTo>
                                  <a:pt x="1176761" y="503661"/>
                                </a:lnTo>
                                <a:lnTo>
                                  <a:pt x="1198523" y="471369"/>
                                </a:lnTo>
                                <a:lnTo>
                                  <a:pt x="1206499" y="431800"/>
                                </a:lnTo>
                                <a:lnTo>
                                  <a:pt x="1206499" y="101600"/>
                                </a:lnTo>
                                <a:lnTo>
                                  <a:pt x="1198523" y="62030"/>
                                </a:lnTo>
                                <a:lnTo>
                                  <a:pt x="1176761" y="29738"/>
                                </a:lnTo>
                                <a:lnTo>
                                  <a:pt x="1144469" y="7976"/>
                                </a:lnTo>
                                <a:lnTo>
                                  <a:pt x="1104899" y="0"/>
                                </a:lnTo>
                                <a:close/>
                              </a:path>
                            </a:pathLst>
                          </a:custGeom>
                          <a:solidFill>
                            <a:srgbClr val="EDF4E6"/>
                          </a:solidFill>
                        </wps:spPr>
                        <wps:bodyPr wrap="square" lIns="0" tIns="0" rIns="0" bIns="0" rtlCol="0">
                          <a:prstTxWarp prst="textNoShape">
                            <a:avLst/>
                          </a:prstTxWarp>
                          <a:noAutofit/>
                        </wps:bodyPr>
                      </wps:wsp>
                      <wps:wsp>
                        <wps:cNvPr id="10" name="Graphic 10"/>
                        <wps:cNvSpPr/>
                        <wps:spPr>
                          <a:xfrm>
                            <a:off x="2748279" y="5080"/>
                            <a:ext cx="1206500" cy="533400"/>
                          </a:xfrm>
                          <a:custGeom>
                            <a:avLst/>
                            <a:gdLst/>
                            <a:ahLst/>
                            <a:cxnLst/>
                            <a:rect l="l" t="t" r="r" b="b"/>
                            <a:pathLst>
                              <a:path w="1206500" h="533400">
                                <a:moveTo>
                                  <a:pt x="101599" y="533400"/>
                                </a:moveTo>
                                <a:lnTo>
                                  <a:pt x="1104899" y="533400"/>
                                </a:lnTo>
                                <a:lnTo>
                                  <a:pt x="1144469" y="525423"/>
                                </a:lnTo>
                                <a:lnTo>
                                  <a:pt x="1176761" y="503661"/>
                                </a:lnTo>
                                <a:lnTo>
                                  <a:pt x="1198523" y="471369"/>
                                </a:lnTo>
                                <a:lnTo>
                                  <a:pt x="1206499" y="431800"/>
                                </a:lnTo>
                                <a:lnTo>
                                  <a:pt x="1206499" y="101600"/>
                                </a:lnTo>
                                <a:lnTo>
                                  <a:pt x="1198523" y="62030"/>
                                </a:lnTo>
                                <a:lnTo>
                                  <a:pt x="1176761" y="29738"/>
                                </a:lnTo>
                                <a:lnTo>
                                  <a:pt x="1144469" y="7976"/>
                                </a:lnTo>
                                <a:lnTo>
                                  <a:pt x="1104899" y="0"/>
                                </a:lnTo>
                                <a:lnTo>
                                  <a:pt x="101599" y="0"/>
                                </a:lnTo>
                                <a:lnTo>
                                  <a:pt x="62030" y="7976"/>
                                </a:lnTo>
                                <a:lnTo>
                                  <a:pt x="29738" y="29738"/>
                                </a:lnTo>
                                <a:lnTo>
                                  <a:pt x="7976" y="62030"/>
                                </a:lnTo>
                                <a:lnTo>
                                  <a:pt x="0" y="101600"/>
                                </a:lnTo>
                                <a:lnTo>
                                  <a:pt x="0" y="431800"/>
                                </a:lnTo>
                                <a:lnTo>
                                  <a:pt x="7976" y="471369"/>
                                </a:lnTo>
                                <a:lnTo>
                                  <a:pt x="29738" y="503661"/>
                                </a:lnTo>
                                <a:lnTo>
                                  <a:pt x="62030" y="525423"/>
                                </a:lnTo>
                                <a:lnTo>
                                  <a:pt x="101599" y="533400"/>
                                </a:lnTo>
                                <a:close/>
                              </a:path>
                            </a:pathLst>
                          </a:custGeom>
                          <a:ln w="10160">
                            <a:solidFill>
                              <a:srgbClr val="C8D3BF"/>
                            </a:solidFill>
                            <a:prstDash val="solid"/>
                          </a:ln>
                        </wps:spPr>
                        <wps:bodyPr wrap="square" lIns="0" tIns="0" rIns="0" bIns="0" rtlCol="0">
                          <a:prstTxWarp prst="textNoShape">
                            <a:avLst/>
                          </a:prstTxWarp>
                          <a:noAutofit/>
                        </wps:bodyPr>
                      </wps:wsp>
                      <wps:wsp>
                        <wps:cNvPr id="11" name="Graphic 11"/>
                        <wps:cNvSpPr/>
                        <wps:spPr>
                          <a:xfrm>
                            <a:off x="4119879" y="5080"/>
                            <a:ext cx="1219200" cy="533400"/>
                          </a:xfrm>
                          <a:custGeom>
                            <a:avLst/>
                            <a:gdLst/>
                            <a:ahLst/>
                            <a:cxnLst/>
                            <a:rect l="l" t="t" r="r" b="b"/>
                            <a:pathLst>
                              <a:path w="1219200" h="533400">
                                <a:moveTo>
                                  <a:pt x="1117600" y="0"/>
                                </a:moveTo>
                                <a:lnTo>
                                  <a:pt x="101600" y="0"/>
                                </a:lnTo>
                                <a:lnTo>
                                  <a:pt x="62030" y="7976"/>
                                </a:lnTo>
                                <a:lnTo>
                                  <a:pt x="29738" y="29738"/>
                                </a:lnTo>
                                <a:lnTo>
                                  <a:pt x="7976" y="62030"/>
                                </a:lnTo>
                                <a:lnTo>
                                  <a:pt x="0" y="101600"/>
                                </a:lnTo>
                                <a:lnTo>
                                  <a:pt x="0" y="431800"/>
                                </a:lnTo>
                                <a:lnTo>
                                  <a:pt x="7976" y="471369"/>
                                </a:lnTo>
                                <a:lnTo>
                                  <a:pt x="29738" y="503661"/>
                                </a:lnTo>
                                <a:lnTo>
                                  <a:pt x="62030" y="525423"/>
                                </a:lnTo>
                                <a:lnTo>
                                  <a:pt x="101600" y="533400"/>
                                </a:lnTo>
                                <a:lnTo>
                                  <a:pt x="1117600" y="533400"/>
                                </a:lnTo>
                                <a:lnTo>
                                  <a:pt x="1157169" y="525423"/>
                                </a:lnTo>
                                <a:lnTo>
                                  <a:pt x="1189461" y="503661"/>
                                </a:lnTo>
                                <a:lnTo>
                                  <a:pt x="1211223" y="471369"/>
                                </a:lnTo>
                                <a:lnTo>
                                  <a:pt x="1219200" y="431800"/>
                                </a:lnTo>
                                <a:lnTo>
                                  <a:pt x="1219200" y="101600"/>
                                </a:lnTo>
                                <a:lnTo>
                                  <a:pt x="1211223" y="62030"/>
                                </a:lnTo>
                                <a:lnTo>
                                  <a:pt x="1189461" y="29738"/>
                                </a:lnTo>
                                <a:lnTo>
                                  <a:pt x="1157169" y="7976"/>
                                </a:lnTo>
                                <a:lnTo>
                                  <a:pt x="1117600" y="0"/>
                                </a:lnTo>
                                <a:close/>
                              </a:path>
                            </a:pathLst>
                          </a:custGeom>
                          <a:solidFill>
                            <a:srgbClr val="FFFFFF"/>
                          </a:solidFill>
                        </wps:spPr>
                        <wps:bodyPr wrap="square" lIns="0" tIns="0" rIns="0" bIns="0" rtlCol="0">
                          <a:prstTxWarp prst="textNoShape">
                            <a:avLst/>
                          </a:prstTxWarp>
                          <a:noAutofit/>
                        </wps:bodyPr>
                      </wps:wsp>
                      <wps:wsp>
                        <wps:cNvPr id="12" name="Graphic 12"/>
                        <wps:cNvSpPr/>
                        <wps:spPr>
                          <a:xfrm>
                            <a:off x="4119879" y="5080"/>
                            <a:ext cx="1219200" cy="533400"/>
                          </a:xfrm>
                          <a:custGeom>
                            <a:avLst/>
                            <a:gdLst/>
                            <a:ahLst/>
                            <a:cxnLst/>
                            <a:rect l="l" t="t" r="r" b="b"/>
                            <a:pathLst>
                              <a:path w="1219200" h="533400">
                                <a:moveTo>
                                  <a:pt x="101600" y="533400"/>
                                </a:moveTo>
                                <a:lnTo>
                                  <a:pt x="1117600" y="533400"/>
                                </a:lnTo>
                                <a:lnTo>
                                  <a:pt x="1157169" y="525423"/>
                                </a:lnTo>
                                <a:lnTo>
                                  <a:pt x="1189461" y="503661"/>
                                </a:lnTo>
                                <a:lnTo>
                                  <a:pt x="1211223" y="471369"/>
                                </a:lnTo>
                                <a:lnTo>
                                  <a:pt x="1219200" y="431800"/>
                                </a:lnTo>
                                <a:lnTo>
                                  <a:pt x="1219200" y="101600"/>
                                </a:lnTo>
                                <a:lnTo>
                                  <a:pt x="1211223" y="62030"/>
                                </a:lnTo>
                                <a:lnTo>
                                  <a:pt x="1189461" y="29738"/>
                                </a:lnTo>
                                <a:lnTo>
                                  <a:pt x="1157169" y="7976"/>
                                </a:lnTo>
                                <a:lnTo>
                                  <a:pt x="1117600" y="0"/>
                                </a:lnTo>
                                <a:lnTo>
                                  <a:pt x="101600" y="0"/>
                                </a:lnTo>
                                <a:lnTo>
                                  <a:pt x="62030" y="7976"/>
                                </a:lnTo>
                                <a:lnTo>
                                  <a:pt x="29738" y="29738"/>
                                </a:lnTo>
                                <a:lnTo>
                                  <a:pt x="7976" y="62030"/>
                                </a:lnTo>
                                <a:lnTo>
                                  <a:pt x="0" y="101600"/>
                                </a:lnTo>
                                <a:lnTo>
                                  <a:pt x="0" y="431800"/>
                                </a:lnTo>
                                <a:lnTo>
                                  <a:pt x="7976" y="471369"/>
                                </a:lnTo>
                                <a:lnTo>
                                  <a:pt x="29738" y="503661"/>
                                </a:lnTo>
                                <a:lnTo>
                                  <a:pt x="62030" y="525423"/>
                                </a:lnTo>
                                <a:lnTo>
                                  <a:pt x="101600" y="533400"/>
                                </a:lnTo>
                                <a:close/>
                              </a:path>
                            </a:pathLst>
                          </a:custGeom>
                          <a:ln w="10160">
                            <a:solidFill>
                              <a:srgbClr val="C8D3BF"/>
                            </a:solidFill>
                            <a:prstDash val="solid"/>
                          </a:ln>
                        </wps:spPr>
                        <wps:bodyPr wrap="square" lIns="0" tIns="0" rIns="0" bIns="0" rtlCol="0">
                          <a:prstTxWarp prst="textNoShape">
                            <a:avLst/>
                          </a:prstTxWarp>
                          <a:noAutofit/>
                        </wps:bodyPr>
                      </wps:wsp>
                      <wps:wsp>
                        <wps:cNvPr id="13" name="Graphic 13"/>
                        <wps:cNvSpPr/>
                        <wps:spPr>
                          <a:xfrm>
                            <a:off x="1376680" y="767080"/>
                            <a:ext cx="1206500" cy="533400"/>
                          </a:xfrm>
                          <a:custGeom>
                            <a:avLst/>
                            <a:gdLst/>
                            <a:ahLst/>
                            <a:cxnLst/>
                            <a:rect l="l" t="t" r="r" b="b"/>
                            <a:pathLst>
                              <a:path w="1206500" h="533400">
                                <a:moveTo>
                                  <a:pt x="1104900" y="0"/>
                                </a:moveTo>
                                <a:lnTo>
                                  <a:pt x="101600" y="0"/>
                                </a:lnTo>
                                <a:lnTo>
                                  <a:pt x="62030" y="7976"/>
                                </a:lnTo>
                                <a:lnTo>
                                  <a:pt x="29738" y="29738"/>
                                </a:lnTo>
                                <a:lnTo>
                                  <a:pt x="7976" y="62030"/>
                                </a:lnTo>
                                <a:lnTo>
                                  <a:pt x="0" y="101600"/>
                                </a:lnTo>
                                <a:lnTo>
                                  <a:pt x="0" y="431800"/>
                                </a:lnTo>
                                <a:lnTo>
                                  <a:pt x="7976" y="471369"/>
                                </a:lnTo>
                                <a:lnTo>
                                  <a:pt x="29738" y="503661"/>
                                </a:lnTo>
                                <a:lnTo>
                                  <a:pt x="62030" y="525423"/>
                                </a:lnTo>
                                <a:lnTo>
                                  <a:pt x="101600" y="533400"/>
                                </a:lnTo>
                                <a:lnTo>
                                  <a:pt x="1104900" y="533400"/>
                                </a:lnTo>
                                <a:lnTo>
                                  <a:pt x="1144469" y="525423"/>
                                </a:lnTo>
                                <a:lnTo>
                                  <a:pt x="1176761" y="503661"/>
                                </a:lnTo>
                                <a:lnTo>
                                  <a:pt x="1198523" y="471369"/>
                                </a:lnTo>
                                <a:lnTo>
                                  <a:pt x="1206500" y="431800"/>
                                </a:lnTo>
                                <a:lnTo>
                                  <a:pt x="1206500" y="101600"/>
                                </a:lnTo>
                                <a:lnTo>
                                  <a:pt x="1198523" y="62030"/>
                                </a:lnTo>
                                <a:lnTo>
                                  <a:pt x="1176761" y="29738"/>
                                </a:lnTo>
                                <a:lnTo>
                                  <a:pt x="1144469" y="7976"/>
                                </a:lnTo>
                                <a:lnTo>
                                  <a:pt x="1104900" y="0"/>
                                </a:lnTo>
                                <a:close/>
                              </a:path>
                            </a:pathLst>
                          </a:custGeom>
                          <a:solidFill>
                            <a:srgbClr val="FFFFFF"/>
                          </a:solidFill>
                        </wps:spPr>
                        <wps:bodyPr wrap="square" lIns="0" tIns="0" rIns="0" bIns="0" rtlCol="0">
                          <a:prstTxWarp prst="textNoShape">
                            <a:avLst/>
                          </a:prstTxWarp>
                          <a:noAutofit/>
                        </wps:bodyPr>
                      </wps:wsp>
                      <wps:wsp>
                        <wps:cNvPr id="14" name="Graphic 14"/>
                        <wps:cNvSpPr/>
                        <wps:spPr>
                          <a:xfrm>
                            <a:off x="1376680" y="767080"/>
                            <a:ext cx="1206500" cy="533400"/>
                          </a:xfrm>
                          <a:custGeom>
                            <a:avLst/>
                            <a:gdLst/>
                            <a:ahLst/>
                            <a:cxnLst/>
                            <a:rect l="l" t="t" r="r" b="b"/>
                            <a:pathLst>
                              <a:path w="1206500" h="533400">
                                <a:moveTo>
                                  <a:pt x="101600" y="533400"/>
                                </a:moveTo>
                                <a:lnTo>
                                  <a:pt x="1104900" y="533400"/>
                                </a:lnTo>
                                <a:lnTo>
                                  <a:pt x="1144469" y="525423"/>
                                </a:lnTo>
                                <a:lnTo>
                                  <a:pt x="1176761" y="503661"/>
                                </a:lnTo>
                                <a:lnTo>
                                  <a:pt x="1198523" y="471369"/>
                                </a:lnTo>
                                <a:lnTo>
                                  <a:pt x="1206500" y="431800"/>
                                </a:lnTo>
                                <a:lnTo>
                                  <a:pt x="1206500" y="101600"/>
                                </a:lnTo>
                                <a:lnTo>
                                  <a:pt x="1198523" y="62030"/>
                                </a:lnTo>
                                <a:lnTo>
                                  <a:pt x="1176761" y="29738"/>
                                </a:lnTo>
                                <a:lnTo>
                                  <a:pt x="1144469" y="7976"/>
                                </a:lnTo>
                                <a:lnTo>
                                  <a:pt x="1104900" y="0"/>
                                </a:lnTo>
                                <a:lnTo>
                                  <a:pt x="101600" y="0"/>
                                </a:lnTo>
                                <a:lnTo>
                                  <a:pt x="62030" y="7976"/>
                                </a:lnTo>
                                <a:lnTo>
                                  <a:pt x="29738" y="29738"/>
                                </a:lnTo>
                                <a:lnTo>
                                  <a:pt x="7976" y="62030"/>
                                </a:lnTo>
                                <a:lnTo>
                                  <a:pt x="0" y="101600"/>
                                </a:lnTo>
                                <a:lnTo>
                                  <a:pt x="0" y="431800"/>
                                </a:lnTo>
                                <a:lnTo>
                                  <a:pt x="7976" y="471369"/>
                                </a:lnTo>
                                <a:lnTo>
                                  <a:pt x="29738" y="503661"/>
                                </a:lnTo>
                                <a:lnTo>
                                  <a:pt x="62030" y="525423"/>
                                </a:lnTo>
                                <a:lnTo>
                                  <a:pt x="101600" y="533400"/>
                                </a:lnTo>
                                <a:close/>
                              </a:path>
                            </a:pathLst>
                          </a:custGeom>
                          <a:ln w="10160">
                            <a:solidFill>
                              <a:srgbClr val="C8D3BF"/>
                            </a:solidFill>
                            <a:prstDash val="solid"/>
                          </a:ln>
                        </wps:spPr>
                        <wps:bodyPr wrap="square" lIns="0" tIns="0" rIns="0" bIns="0" rtlCol="0">
                          <a:prstTxWarp prst="textNoShape">
                            <a:avLst/>
                          </a:prstTxWarp>
                          <a:noAutofit/>
                        </wps:bodyPr>
                      </wps:wsp>
                      <wps:wsp>
                        <wps:cNvPr id="15" name="Graphic 15"/>
                        <wps:cNvSpPr/>
                        <wps:spPr>
                          <a:xfrm>
                            <a:off x="2748279" y="767080"/>
                            <a:ext cx="1206500" cy="533400"/>
                          </a:xfrm>
                          <a:custGeom>
                            <a:avLst/>
                            <a:gdLst/>
                            <a:ahLst/>
                            <a:cxnLst/>
                            <a:rect l="l" t="t" r="r" b="b"/>
                            <a:pathLst>
                              <a:path w="1206500" h="533400">
                                <a:moveTo>
                                  <a:pt x="1104899" y="0"/>
                                </a:moveTo>
                                <a:lnTo>
                                  <a:pt x="101599" y="0"/>
                                </a:lnTo>
                                <a:lnTo>
                                  <a:pt x="62030" y="7976"/>
                                </a:lnTo>
                                <a:lnTo>
                                  <a:pt x="29738" y="29738"/>
                                </a:lnTo>
                                <a:lnTo>
                                  <a:pt x="7976" y="62030"/>
                                </a:lnTo>
                                <a:lnTo>
                                  <a:pt x="0" y="101600"/>
                                </a:lnTo>
                                <a:lnTo>
                                  <a:pt x="0" y="431800"/>
                                </a:lnTo>
                                <a:lnTo>
                                  <a:pt x="7976" y="471369"/>
                                </a:lnTo>
                                <a:lnTo>
                                  <a:pt x="29738" y="503661"/>
                                </a:lnTo>
                                <a:lnTo>
                                  <a:pt x="62030" y="525423"/>
                                </a:lnTo>
                                <a:lnTo>
                                  <a:pt x="101599" y="533400"/>
                                </a:lnTo>
                                <a:lnTo>
                                  <a:pt x="1104899" y="533400"/>
                                </a:lnTo>
                                <a:lnTo>
                                  <a:pt x="1144469" y="525423"/>
                                </a:lnTo>
                                <a:lnTo>
                                  <a:pt x="1176761" y="503661"/>
                                </a:lnTo>
                                <a:lnTo>
                                  <a:pt x="1198523" y="471369"/>
                                </a:lnTo>
                                <a:lnTo>
                                  <a:pt x="1206499" y="431800"/>
                                </a:lnTo>
                                <a:lnTo>
                                  <a:pt x="1206499" y="101600"/>
                                </a:lnTo>
                                <a:lnTo>
                                  <a:pt x="1198523" y="62030"/>
                                </a:lnTo>
                                <a:lnTo>
                                  <a:pt x="1176761" y="29738"/>
                                </a:lnTo>
                                <a:lnTo>
                                  <a:pt x="1144469" y="7976"/>
                                </a:lnTo>
                                <a:lnTo>
                                  <a:pt x="1104899" y="0"/>
                                </a:lnTo>
                                <a:close/>
                              </a:path>
                            </a:pathLst>
                          </a:custGeom>
                          <a:solidFill>
                            <a:srgbClr val="EDF4E6"/>
                          </a:solidFill>
                        </wps:spPr>
                        <wps:bodyPr wrap="square" lIns="0" tIns="0" rIns="0" bIns="0" rtlCol="0">
                          <a:prstTxWarp prst="textNoShape">
                            <a:avLst/>
                          </a:prstTxWarp>
                          <a:noAutofit/>
                        </wps:bodyPr>
                      </wps:wsp>
                      <wps:wsp>
                        <wps:cNvPr id="16" name="Graphic 16"/>
                        <wps:cNvSpPr/>
                        <wps:spPr>
                          <a:xfrm>
                            <a:off x="2748279" y="767080"/>
                            <a:ext cx="1206500" cy="533400"/>
                          </a:xfrm>
                          <a:custGeom>
                            <a:avLst/>
                            <a:gdLst/>
                            <a:ahLst/>
                            <a:cxnLst/>
                            <a:rect l="l" t="t" r="r" b="b"/>
                            <a:pathLst>
                              <a:path w="1206500" h="533400">
                                <a:moveTo>
                                  <a:pt x="101599" y="533400"/>
                                </a:moveTo>
                                <a:lnTo>
                                  <a:pt x="1104899" y="533400"/>
                                </a:lnTo>
                                <a:lnTo>
                                  <a:pt x="1144469" y="525423"/>
                                </a:lnTo>
                                <a:lnTo>
                                  <a:pt x="1176761" y="503661"/>
                                </a:lnTo>
                                <a:lnTo>
                                  <a:pt x="1198523" y="471369"/>
                                </a:lnTo>
                                <a:lnTo>
                                  <a:pt x="1206499" y="431800"/>
                                </a:lnTo>
                                <a:lnTo>
                                  <a:pt x="1206499" y="101600"/>
                                </a:lnTo>
                                <a:lnTo>
                                  <a:pt x="1198523" y="62030"/>
                                </a:lnTo>
                                <a:lnTo>
                                  <a:pt x="1176761" y="29738"/>
                                </a:lnTo>
                                <a:lnTo>
                                  <a:pt x="1144469" y="7976"/>
                                </a:lnTo>
                                <a:lnTo>
                                  <a:pt x="1104899" y="0"/>
                                </a:lnTo>
                                <a:lnTo>
                                  <a:pt x="101599" y="0"/>
                                </a:lnTo>
                                <a:lnTo>
                                  <a:pt x="62030" y="7976"/>
                                </a:lnTo>
                                <a:lnTo>
                                  <a:pt x="29738" y="29738"/>
                                </a:lnTo>
                                <a:lnTo>
                                  <a:pt x="7976" y="62030"/>
                                </a:lnTo>
                                <a:lnTo>
                                  <a:pt x="0" y="101600"/>
                                </a:lnTo>
                                <a:lnTo>
                                  <a:pt x="0" y="431800"/>
                                </a:lnTo>
                                <a:lnTo>
                                  <a:pt x="7976" y="471369"/>
                                </a:lnTo>
                                <a:lnTo>
                                  <a:pt x="29738" y="503661"/>
                                </a:lnTo>
                                <a:lnTo>
                                  <a:pt x="62030" y="525423"/>
                                </a:lnTo>
                                <a:lnTo>
                                  <a:pt x="101599" y="533400"/>
                                </a:lnTo>
                                <a:close/>
                              </a:path>
                            </a:pathLst>
                          </a:custGeom>
                          <a:ln w="10160">
                            <a:solidFill>
                              <a:srgbClr val="C8D3BF"/>
                            </a:solidFill>
                            <a:prstDash val="solid"/>
                          </a:ln>
                        </wps:spPr>
                        <wps:bodyPr wrap="square" lIns="0" tIns="0" rIns="0" bIns="0" rtlCol="0">
                          <a:prstTxWarp prst="textNoShape">
                            <a:avLst/>
                          </a:prstTxWarp>
                          <a:noAutofit/>
                        </wps:bodyPr>
                      </wps:wsp>
                      <wps:wsp>
                        <wps:cNvPr id="17" name="Graphic 17"/>
                        <wps:cNvSpPr/>
                        <wps:spPr>
                          <a:xfrm>
                            <a:off x="4119879" y="767080"/>
                            <a:ext cx="1219200" cy="533400"/>
                          </a:xfrm>
                          <a:custGeom>
                            <a:avLst/>
                            <a:gdLst/>
                            <a:ahLst/>
                            <a:cxnLst/>
                            <a:rect l="l" t="t" r="r" b="b"/>
                            <a:pathLst>
                              <a:path w="1219200" h="533400">
                                <a:moveTo>
                                  <a:pt x="1117600" y="0"/>
                                </a:moveTo>
                                <a:lnTo>
                                  <a:pt x="101600" y="0"/>
                                </a:lnTo>
                                <a:lnTo>
                                  <a:pt x="62030" y="7976"/>
                                </a:lnTo>
                                <a:lnTo>
                                  <a:pt x="29738" y="29738"/>
                                </a:lnTo>
                                <a:lnTo>
                                  <a:pt x="7976" y="62030"/>
                                </a:lnTo>
                                <a:lnTo>
                                  <a:pt x="0" y="101600"/>
                                </a:lnTo>
                                <a:lnTo>
                                  <a:pt x="0" y="431800"/>
                                </a:lnTo>
                                <a:lnTo>
                                  <a:pt x="7976" y="471369"/>
                                </a:lnTo>
                                <a:lnTo>
                                  <a:pt x="29738" y="503661"/>
                                </a:lnTo>
                                <a:lnTo>
                                  <a:pt x="62030" y="525423"/>
                                </a:lnTo>
                                <a:lnTo>
                                  <a:pt x="101600" y="533400"/>
                                </a:lnTo>
                                <a:lnTo>
                                  <a:pt x="1117600" y="533400"/>
                                </a:lnTo>
                                <a:lnTo>
                                  <a:pt x="1157169" y="525423"/>
                                </a:lnTo>
                                <a:lnTo>
                                  <a:pt x="1189461" y="503661"/>
                                </a:lnTo>
                                <a:lnTo>
                                  <a:pt x="1211223" y="471369"/>
                                </a:lnTo>
                                <a:lnTo>
                                  <a:pt x="1219200" y="431800"/>
                                </a:lnTo>
                                <a:lnTo>
                                  <a:pt x="1219200" y="101600"/>
                                </a:lnTo>
                                <a:lnTo>
                                  <a:pt x="1211223" y="62030"/>
                                </a:lnTo>
                                <a:lnTo>
                                  <a:pt x="1189461" y="29738"/>
                                </a:lnTo>
                                <a:lnTo>
                                  <a:pt x="1157169" y="7976"/>
                                </a:lnTo>
                                <a:lnTo>
                                  <a:pt x="1117600" y="0"/>
                                </a:lnTo>
                                <a:close/>
                              </a:path>
                            </a:pathLst>
                          </a:custGeom>
                          <a:solidFill>
                            <a:srgbClr val="FFFFFF"/>
                          </a:solidFill>
                        </wps:spPr>
                        <wps:bodyPr wrap="square" lIns="0" tIns="0" rIns="0" bIns="0" rtlCol="0">
                          <a:prstTxWarp prst="textNoShape">
                            <a:avLst/>
                          </a:prstTxWarp>
                          <a:noAutofit/>
                        </wps:bodyPr>
                      </wps:wsp>
                      <wps:wsp>
                        <wps:cNvPr id="18" name="Graphic 18"/>
                        <wps:cNvSpPr/>
                        <wps:spPr>
                          <a:xfrm>
                            <a:off x="4119879" y="767080"/>
                            <a:ext cx="1219200" cy="533400"/>
                          </a:xfrm>
                          <a:custGeom>
                            <a:avLst/>
                            <a:gdLst/>
                            <a:ahLst/>
                            <a:cxnLst/>
                            <a:rect l="l" t="t" r="r" b="b"/>
                            <a:pathLst>
                              <a:path w="1219200" h="533400">
                                <a:moveTo>
                                  <a:pt x="101600" y="533400"/>
                                </a:moveTo>
                                <a:lnTo>
                                  <a:pt x="1117600" y="533400"/>
                                </a:lnTo>
                                <a:lnTo>
                                  <a:pt x="1157169" y="525423"/>
                                </a:lnTo>
                                <a:lnTo>
                                  <a:pt x="1189461" y="503661"/>
                                </a:lnTo>
                                <a:lnTo>
                                  <a:pt x="1211223" y="471369"/>
                                </a:lnTo>
                                <a:lnTo>
                                  <a:pt x="1219200" y="431800"/>
                                </a:lnTo>
                                <a:lnTo>
                                  <a:pt x="1219200" y="101600"/>
                                </a:lnTo>
                                <a:lnTo>
                                  <a:pt x="1211223" y="62030"/>
                                </a:lnTo>
                                <a:lnTo>
                                  <a:pt x="1189461" y="29738"/>
                                </a:lnTo>
                                <a:lnTo>
                                  <a:pt x="1157169" y="7976"/>
                                </a:lnTo>
                                <a:lnTo>
                                  <a:pt x="1117600" y="0"/>
                                </a:lnTo>
                                <a:lnTo>
                                  <a:pt x="101600" y="0"/>
                                </a:lnTo>
                                <a:lnTo>
                                  <a:pt x="62030" y="7976"/>
                                </a:lnTo>
                                <a:lnTo>
                                  <a:pt x="29738" y="29738"/>
                                </a:lnTo>
                                <a:lnTo>
                                  <a:pt x="7976" y="62030"/>
                                </a:lnTo>
                                <a:lnTo>
                                  <a:pt x="0" y="101600"/>
                                </a:lnTo>
                                <a:lnTo>
                                  <a:pt x="0" y="431800"/>
                                </a:lnTo>
                                <a:lnTo>
                                  <a:pt x="7976" y="471369"/>
                                </a:lnTo>
                                <a:lnTo>
                                  <a:pt x="29738" y="503661"/>
                                </a:lnTo>
                                <a:lnTo>
                                  <a:pt x="62030" y="525423"/>
                                </a:lnTo>
                                <a:lnTo>
                                  <a:pt x="101600" y="533400"/>
                                </a:lnTo>
                                <a:close/>
                              </a:path>
                            </a:pathLst>
                          </a:custGeom>
                          <a:ln w="10160">
                            <a:solidFill>
                              <a:srgbClr val="C8D3BF"/>
                            </a:solidFill>
                            <a:prstDash val="solid"/>
                          </a:ln>
                        </wps:spPr>
                        <wps:bodyPr wrap="square" lIns="0" tIns="0" rIns="0" bIns="0" rtlCol="0">
                          <a:prstTxWarp prst="textNoShape">
                            <a:avLst/>
                          </a:prstTxWarp>
                          <a:noAutofit/>
                        </wps:bodyPr>
                      </wps:wsp>
                      <pic:pic>
                        <pic:nvPicPr>
                          <pic:cNvPr id="19" name="Image 19"/>
                          <pic:cNvPicPr/>
                        </pic:nvPicPr>
                        <pic:blipFill>
                          <a:blip r:embed="rId7" cstate="print"/>
                          <a:stretch>
                            <a:fillRect/>
                          </a:stretch>
                        </pic:blipFill>
                        <pic:spPr>
                          <a:xfrm>
                            <a:off x="1211580" y="227329"/>
                            <a:ext cx="171450" cy="88900"/>
                          </a:xfrm>
                          <a:prstGeom prst="rect">
                            <a:avLst/>
                          </a:prstGeom>
                        </pic:spPr>
                      </pic:pic>
                      <pic:pic>
                        <pic:nvPicPr>
                          <pic:cNvPr id="20" name="Image 20"/>
                          <pic:cNvPicPr/>
                        </pic:nvPicPr>
                        <pic:blipFill>
                          <a:blip r:embed="rId7" cstate="print"/>
                          <a:stretch>
                            <a:fillRect/>
                          </a:stretch>
                        </pic:blipFill>
                        <pic:spPr>
                          <a:xfrm>
                            <a:off x="2583179" y="227329"/>
                            <a:ext cx="171450" cy="88900"/>
                          </a:xfrm>
                          <a:prstGeom prst="rect">
                            <a:avLst/>
                          </a:prstGeom>
                        </pic:spPr>
                      </pic:pic>
                      <pic:pic>
                        <pic:nvPicPr>
                          <pic:cNvPr id="21" name="Image 21"/>
                          <pic:cNvPicPr/>
                        </pic:nvPicPr>
                        <pic:blipFill>
                          <a:blip r:embed="rId7" cstate="print"/>
                          <a:stretch>
                            <a:fillRect/>
                          </a:stretch>
                        </pic:blipFill>
                        <pic:spPr>
                          <a:xfrm>
                            <a:off x="3954779" y="227329"/>
                            <a:ext cx="171450" cy="88900"/>
                          </a:xfrm>
                          <a:prstGeom prst="rect">
                            <a:avLst/>
                          </a:prstGeom>
                        </pic:spPr>
                      </pic:pic>
                      <pic:pic>
                        <pic:nvPicPr>
                          <pic:cNvPr id="22" name="Image 22"/>
                          <pic:cNvPicPr/>
                        </pic:nvPicPr>
                        <pic:blipFill>
                          <a:blip r:embed="rId7" cstate="print"/>
                          <a:stretch>
                            <a:fillRect/>
                          </a:stretch>
                        </pic:blipFill>
                        <pic:spPr>
                          <a:xfrm>
                            <a:off x="2583179" y="989330"/>
                            <a:ext cx="171450" cy="88900"/>
                          </a:xfrm>
                          <a:prstGeom prst="rect">
                            <a:avLst/>
                          </a:prstGeom>
                        </pic:spPr>
                      </pic:pic>
                      <pic:pic>
                        <pic:nvPicPr>
                          <pic:cNvPr id="23" name="Image 23"/>
                          <pic:cNvPicPr/>
                        </pic:nvPicPr>
                        <pic:blipFill>
                          <a:blip r:embed="rId7" cstate="print"/>
                          <a:stretch>
                            <a:fillRect/>
                          </a:stretch>
                        </pic:blipFill>
                        <pic:spPr>
                          <a:xfrm>
                            <a:off x="3954779" y="989330"/>
                            <a:ext cx="171450" cy="88900"/>
                          </a:xfrm>
                          <a:prstGeom prst="rect">
                            <a:avLst/>
                          </a:prstGeom>
                        </pic:spPr>
                      </pic:pic>
                      <pic:pic>
                        <pic:nvPicPr>
                          <pic:cNvPr id="24" name="Image 24"/>
                          <pic:cNvPicPr/>
                        </pic:nvPicPr>
                        <pic:blipFill>
                          <a:blip r:embed="rId8" cstate="print"/>
                          <a:stretch>
                            <a:fillRect/>
                          </a:stretch>
                        </pic:blipFill>
                        <pic:spPr>
                          <a:xfrm>
                            <a:off x="1891029" y="538480"/>
                            <a:ext cx="92710" cy="273050"/>
                          </a:xfrm>
                          <a:prstGeom prst="rect">
                            <a:avLst/>
                          </a:prstGeom>
                        </pic:spPr>
                      </pic:pic>
                      <pic:pic>
                        <pic:nvPicPr>
                          <pic:cNvPr id="25" name="Image 25"/>
                          <pic:cNvPicPr/>
                        </pic:nvPicPr>
                        <pic:blipFill>
                          <a:blip r:embed="rId8" cstate="print"/>
                          <a:stretch>
                            <a:fillRect/>
                          </a:stretch>
                        </pic:blipFill>
                        <pic:spPr>
                          <a:xfrm>
                            <a:off x="3262629" y="538480"/>
                            <a:ext cx="92710" cy="273050"/>
                          </a:xfrm>
                          <a:prstGeom prst="rect">
                            <a:avLst/>
                          </a:prstGeom>
                        </pic:spPr>
                      </pic:pic>
                      <wps:wsp>
                        <wps:cNvPr id="26" name="Textbox 26"/>
                        <wps:cNvSpPr txBox="1"/>
                        <wps:spPr>
                          <a:xfrm>
                            <a:off x="132079" y="112855"/>
                            <a:ext cx="654685" cy="118110"/>
                          </a:xfrm>
                          <a:prstGeom prst="rect">
                            <a:avLst/>
                          </a:prstGeom>
                        </wps:spPr>
                        <wps:txbx>
                          <w:txbxContent>
                            <w:p>
                              <w:pPr>
                                <w:spacing w:line="185" w:lineRule="exact" w:before="0"/>
                                <w:ind w:left="0" w:right="0" w:firstLine="0"/>
                                <w:jc w:val="left"/>
                                <w:rPr>
                                  <w:b/>
                                  <w:sz w:val="16"/>
                                </w:rPr>
                              </w:pPr>
                              <w:r>
                                <w:rPr>
                                  <w:b/>
                                  <w:color w:val="4D565B"/>
                                  <w:w w:val="105"/>
                                  <w:sz w:val="16"/>
                                </w:rPr>
                                <w:t>Payer</w:t>
                              </w:r>
                              <w:r>
                                <w:rPr>
                                  <w:b/>
                                  <w:color w:val="4D565B"/>
                                  <w:spacing w:val="-7"/>
                                  <w:w w:val="105"/>
                                  <w:sz w:val="16"/>
                                </w:rPr>
                                <w:t> </w:t>
                              </w:r>
                              <w:r>
                                <w:rPr>
                                  <w:b/>
                                  <w:color w:val="4D565B"/>
                                  <w:w w:val="105"/>
                                  <w:sz w:val="16"/>
                                </w:rPr>
                                <w:t>+</w:t>
                              </w:r>
                              <w:r>
                                <w:rPr>
                                  <w:b/>
                                  <w:color w:val="4D565B"/>
                                  <w:spacing w:val="-7"/>
                                  <w:w w:val="105"/>
                                  <w:sz w:val="16"/>
                                </w:rPr>
                                <w:t> </w:t>
                              </w:r>
                              <w:r>
                                <w:rPr>
                                  <w:b/>
                                  <w:color w:val="4D565B"/>
                                  <w:spacing w:val="-5"/>
                                  <w:w w:val="105"/>
                                  <w:sz w:val="16"/>
                                </w:rPr>
                                <w:t>PBM</w:t>
                              </w:r>
                            </w:p>
                          </w:txbxContent>
                        </wps:txbx>
                        <wps:bodyPr wrap="square" lIns="0" tIns="0" rIns="0" bIns="0" rtlCol="0">
                          <a:noAutofit/>
                        </wps:bodyPr>
                      </wps:wsp>
                      <wps:wsp>
                        <wps:cNvPr id="27" name="Textbox 27"/>
                        <wps:cNvSpPr txBox="1"/>
                        <wps:spPr>
                          <a:xfrm>
                            <a:off x="1503680" y="112855"/>
                            <a:ext cx="475615" cy="270510"/>
                          </a:xfrm>
                          <a:prstGeom prst="rect">
                            <a:avLst/>
                          </a:prstGeom>
                        </wps:spPr>
                        <wps:txbx>
                          <w:txbxContent>
                            <w:p>
                              <w:pPr>
                                <w:spacing w:line="187" w:lineRule="exact" w:before="0"/>
                                <w:ind w:left="0" w:right="0" w:firstLine="0"/>
                                <w:jc w:val="left"/>
                                <w:rPr>
                                  <w:b/>
                                  <w:sz w:val="16"/>
                                </w:rPr>
                              </w:pPr>
                              <w:r>
                                <w:rPr>
                                  <w:b/>
                                  <w:color w:val="4D565B"/>
                                  <w:spacing w:val="-2"/>
                                  <w:w w:val="105"/>
                                  <w:sz w:val="16"/>
                                </w:rPr>
                                <w:t>Specialty</w:t>
                              </w:r>
                            </w:p>
                            <w:p>
                              <w:pPr>
                                <w:spacing w:line="190" w:lineRule="exact" w:before="48"/>
                                <w:ind w:left="0" w:right="0" w:firstLine="0"/>
                                <w:jc w:val="left"/>
                                <w:rPr>
                                  <w:sz w:val="16"/>
                                </w:rPr>
                              </w:pPr>
                              <w:r>
                                <w:rPr>
                                  <w:color w:val="4D565B"/>
                                  <w:spacing w:val="-2"/>
                                  <w:w w:val="105"/>
                                  <w:sz w:val="16"/>
                                </w:rPr>
                                <w:t>pharmacy</w:t>
                              </w:r>
                            </w:p>
                          </w:txbxContent>
                        </wps:txbx>
                        <wps:bodyPr wrap="square" lIns="0" tIns="0" rIns="0" bIns="0" rtlCol="0">
                          <a:noAutofit/>
                        </wps:bodyPr>
                      </wps:wsp>
                      <wps:wsp>
                        <wps:cNvPr id="28" name="Textbox 28"/>
                        <wps:cNvSpPr txBox="1"/>
                        <wps:spPr>
                          <a:xfrm>
                            <a:off x="2875279" y="112855"/>
                            <a:ext cx="856615" cy="270510"/>
                          </a:xfrm>
                          <a:prstGeom prst="rect">
                            <a:avLst/>
                          </a:prstGeom>
                        </wps:spPr>
                        <wps:txbx>
                          <w:txbxContent>
                            <w:p>
                              <w:pPr>
                                <w:spacing w:line="187" w:lineRule="exact" w:before="0"/>
                                <w:ind w:left="0" w:right="0" w:firstLine="0"/>
                                <w:jc w:val="left"/>
                                <w:rPr>
                                  <w:b/>
                                  <w:sz w:val="16"/>
                                </w:rPr>
                              </w:pPr>
                              <w:r>
                                <w:rPr>
                                  <w:b/>
                                  <w:color w:val="4D565B"/>
                                  <w:w w:val="105"/>
                                  <w:sz w:val="16"/>
                                </w:rPr>
                                <w:t>Hospital</w:t>
                              </w:r>
                              <w:r>
                                <w:rPr>
                                  <w:b/>
                                  <w:color w:val="4D565B"/>
                                  <w:spacing w:val="-8"/>
                                  <w:w w:val="105"/>
                                  <w:sz w:val="16"/>
                                </w:rPr>
                                <w:t> </w:t>
                              </w:r>
                              <w:r>
                                <w:rPr>
                                  <w:b/>
                                  <w:color w:val="4D565B"/>
                                  <w:w w:val="105"/>
                                  <w:sz w:val="16"/>
                                </w:rPr>
                                <w:t>/</w:t>
                              </w:r>
                              <w:r>
                                <w:rPr>
                                  <w:b/>
                                  <w:color w:val="4D565B"/>
                                  <w:spacing w:val="-8"/>
                                  <w:w w:val="105"/>
                                  <w:sz w:val="16"/>
                                </w:rPr>
                                <w:t> </w:t>
                              </w:r>
                              <w:r>
                                <w:rPr>
                                  <w:b/>
                                  <w:color w:val="4D565B"/>
                                  <w:spacing w:val="-5"/>
                                  <w:w w:val="105"/>
                                  <w:sz w:val="16"/>
                                </w:rPr>
                                <w:t>COE</w:t>
                              </w:r>
                            </w:p>
                            <w:p>
                              <w:pPr>
                                <w:spacing w:line="190" w:lineRule="exact" w:before="48"/>
                                <w:ind w:left="0" w:right="0" w:firstLine="0"/>
                                <w:jc w:val="left"/>
                                <w:rPr>
                                  <w:sz w:val="16"/>
                                </w:rPr>
                              </w:pPr>
                              <w:r>
                                <w:rPr>
                                  <w:color w:val="4D565B"/>
                                  <w:w w:val="105"/>
                                  <w:sz w:val="16"/>
                                </w:rPr>
                                <w:t>or</w:t>
                              </w:r>
                              <w:r>
                                <w:rPr>
                                  <w:color w:val="4D565B"/>
                                  <w:spacing w:val="-10"/>
                                  <w:w w:val="105"/>
                                  <w:sz w:val="16"/>
                                </w:rPr>
                                <w:t> </w:t>
                              </w:r>
                              <w:r>
                                <w:rPr>
                                  <w:color w:val="4D565B"/>
                                  <w:w w:val="105"/>
                                  <w:sz w:val="16"/>
                                </w:rPr>
                                <w:t>physician</w:t>
                              </w:r>
                              <w:r>
                                <w:rPr>
                                  <w:color w:val="4D565B"/>
                                  <w:spacing w:val="-9"/>
                                  <w:w w:val="105"/>
                                  <w:sz w:val="16"/>
                                </w:rPr>
                                <w:t> </w:t>
                              </w:r>
                              <w:r>
                                <w:rPr>
                                  <w:color w:val="4D565B"/>
                                  <w:spacing w:val="-2"/>
                                  <w:w w:val="105"/>
                                  <w:sz w:val="16"/>
                                </w:rPr>
                                <w:t>office</w:t>
                              </w:r>
                            </w:p>
                          </w:txbxContent>
                        </wps:txbx>
                        <wps:bodyPr wrap="square" lIns="0" tIns="0" rIns="0" bIns="0" rtlCol="0">
                          <a:noAutofit/>
                        </wps:bodyPr>
                      </wps:wsp>
                      <wps:wsp>
                        <wps:cNvPr id="29" name="Textbox 29"/>
                        <wps:cNvSpPr txBox="1"/>
                        <wps:spPr>
                          <a:xfrm>
                            <a:off x="4246879" y="112855"/>
                            <a:ext cx="628015" cy="270510"/>
                          </a:xfrm>
                          <a:prstGeom prst="rect">
                            <a:avLst/>
                          </a:prstGeom>
                        </wps:spPr>
                        <wps:txbx>
                          <w:txbxContent>
                            <w:p>
                              <w:pPr>
                                <w:spacing w:line="187" w:lineRule="exact" w:before="0"/>
                                <w:ind w:left="0" w:right="0" w:firstLine="0"/>
                                <w:jc w:val="left"/>
                                <w:rPr>
                                  <w:b/>
                                  <w:sz w:val="16"/>
                                </w:rPr>
                              </w:pPr>
                              <w:r>
                                <w:rPr>
                                  <w:b/>
                                  <w:color w:val="4D565B"/>
                                  <w:sz w:val="16"/>
                                </w:rPr>
                                <w:t>Provider</w:t>
                              </w:r>
                              <w:r>
                                <w:rPr>
                                  <w:b/>
                                  <w:color w:val="4D565B"/>
                                  <w:spacing w:val="20"/>
                                  <w:sz w:val="16"/>
                                </w:rPr>
                                <w:t> </w:t>
                              </w:r>
                              <w:r>
                                <w:rPr>
                                  <w:b/>
                                  <w:color w:val="4D565B"/>
                                  <w:spacing w:val="-5"/>
                                  <w:sz w:val="16"/>
                                </w:rPr>
                                <w:t>net</w:t>
                              </w:r>
                            </w:p>
                            <w:p>
                              <w:pPr>
                                <w:spacing w:line="190" w:lineRule="exact" w:before="48"/>
                                <w:ind w:left="0" w:right="0" w:firstLine="0"/>
                                <w:jc w:val="left"/>
                                <w:rPr>
                                  <w:sz w:val="16"/>
                                </w:rPr>
                              </w:pPr>
                              <w:r>
                                <w:rPr>
                                  <w:color w:val="4D565B"/>
                                  <w:w w:val="105"/>
                                  <w:sz w:val="16"/>
                                </w:rPr>
                                <w:t>margin</w:t>
                              </w:r>
                              <w:r>
                                <w:rPr>
                                  <w:color w:val="4D565B"/>
                                  <w:spacing w:val="-13"/>
                                  <w:w w:val="105"/>
                                  <w:sz w:val="16"/>
                                </w:rPr>
                                <w:t> </w:t>
                              </w:r>
                              <w:r>
                                <w:rPr>
                                  <w:color w:val="4D565B"/>
                                  <w:spacing w:val="-2"/>
                                  <w:w w:val="105"/>
                                  <w:sz w:val="16"/>
                                </w:rPr>
                                <w:t>result</w:t>
                              </w:r>
                            </w:p>
                          </w:txbxContent>
                        </wps:txbx>
                        <wps:bodyPr wrap="square" lIns="0" tIns="0" rIns="0" bIns="0" rtlCol="0">
                          <a:noAutofit/>
                        </wps:bodyPr>
                      </wps:wsp>
                      <wps:wsp>
                        <wps:cNvPr id="30" name="Textbox 30"/>
                        <wps:cNvSpPr txBox="1"/>
                        <wps:spPr>
                          <a:xfrm>
                            <a:off x="1503680" y="874855"/>
                            <a:ext cx="803910" cy="270510"/>
                          </a:xfrm>
                          <a:prstGeom prst="rect">
                            <a:avLst/>
                          </a:prstGeom>
                        </wps:spPr>
                        <wps:txbx>
                          <w:txbxContent>
                            <w:p>
                              <w:pPr>
                                <w:spacing w:line="187" w:lineRule="exact" w:before="0"/>
                                <w:ind w:left="0" w:right="0" w:firstLine="0"/>
                                <w:jc w:val="left"/>
                                <w:rPr>
                                  <w:b/>
                                  <w:sz w:val="16"/>
                                </w:rPr>
                              </w:pPr>
                              <w:r>
                                <w:rPr>
                                  <w:b/>
                                  <w:color w:val="4D565B"/>
                                  <w:w w:val="105"/>
                                  <w:sz w:val="16"/>
                                </w:rPr>
                                <w:t>340B</w:t>
                              </w:r>
                              <w:r>
                                <w:rPr>
                                  <w:b/>
                                  <w:color w:val="4D565B"/>
                                  <w:spacing w:val="-6"/>
                                  <w:w w:val="105"/>
                                  <w:sz w:val="16"/>
                                </w:rPr>
                                <w:t> </w:t>
                              </w:r>
                              <w:r>
                                <w:rPr>
                                  <w:b/>
                                  <w:color w:val="4D565B"/>
                                  <w:w w:val="105"/>
                                  <w:sz w:val="16"/>
                                </w:rPr>
                                <w:t>/</w:t>
                              </w:r>
                              <w:r>
                                <w:rPr>
                                  <w:b/>
                                  <w:color w:val="4D565B"/>
                                  <w:spacing w:val="-5"/>
                                  <w:w w:val="105"/>
                                  <w:sz w:val="16"/>
                                </w:rPr>
                                <w:t> </w:t>
                              </w:r>
                              <w:r>
                                <w:rPr>
                                  <w:b/>
                                  <w:color w:val="4D565B"/>
                                  <w:spacing w:val="-2"/>
                                  <w:w w:val="105"/>
                                  <w:sz w:val="16"/>
                                </w:rPr>
                                <w:t>Medicaid</w:t>
                              </w:r>
                            </w:p>
                            <w:p>
                              <w:pPr>
                                <w:spacing w:line="190" w:lineRule="exact" w:before="48"/>
                                <w:ind w:left="0" w:right="0" w:firstLine="0"/>
                                <w:jc w:val="left"/>
                                <w:rPr>
                                  <w:sz w:val="16"/>
                                </w:rPr>
                              </w:pPr>
                              <w:r>
                                <w:rPr>
                                  <w:color w:val="4D565B"/>
                                  <w:w w:val="105"/>
                                  <w:sz w:val="16"/>
                                </w:rPr>
                                <w:t>claim</w:t>
                              </w:r>
                              <w:r>
                                <w:rPr>
                                  <w:color w:val="4D565B"/>
                                  <w:spacing w:val="-9"/>
                                  <w:w w:val="105"/>
                                  <w:sz w:val="16"/>
                                </w:rPr>
                                <w:t> </w:t>
                              </w:r>
                              <w:r>
                                <w:rPr>
                                  <w:color w:val="4D565B"/>
                                  <w:spacing w:val="-4"/>
                                  <w:w w:val="105"/>
                                  <w:sz w:val="16"/>
                                </w:rPr>
                                <w:t>path</w:t>
                              </w:r>
                            </w:p>
                          </w:txbxContent>
                        </wps:txbx>
                        <wps:bodyPr wrap="square" lIns="0" tIns="0" rIns="0" bIns="0" rtlCol="0">
                          <a:noAutofit/>
                        </wps:bodyPr>
                      </wps:wsp>
                      <wps:wsp>
                        <wps:cNvPr id="31" name="Textbox 31"/>
                        <wps:cNvSpPr txBox="1"/>
                        <wps:spPr>
                          <a:xfrm>
                            <a:off x="2875279" y="874855"/>
                            <a:ext cx="771525" cy="270510"/>
                          </a:xfrm>
                          <a:prstGeom prst="rect">
                            <a:avLst/>
                          </a:prstGeom>
                        </wps:spPr>
                        <wps:txbx>
                          <w:txbxContent>
                            <w:p>
                              <w:pPr>
                                <w:spacing w:line="187" w:lineRule="exact" w:before="0"/>
                                <w:ind w:left="0" w:right="0" w:firstLine="0"/>
                                <w:jc w:val="left"/>
                                <w:rPr>
                                  <w:b/>
                                  <w:sz w:val="16"/>
                                </w:rPr>
                              </w:pPr>
                              <w:r>
                                <w:rPr>
                                  <w:b/>
                                  <w:color w:val="4D565B"/>
                                  <w:w w:val="105"/>
                                  <w:sz w:val="16"/>
                                </w:rPr>
                                <w:t>Coding</w:t>
                              </w:r>
                              <w:r>
                                <w:rPr>
                                  <w:b/>
                                  <w:color w:val="4D565B"/>
                                  <w:spacing w:val="-8"/>
                                  <w:w w:val="105"/>
                                  <w:sz w:val="16"/>
                                </w:rPr>
                                <w:t> </w:t>
                              </w:r>
                              <w:r>
                                <w:rPr>
                                  <w:b/>
                                  <w:color w:val="4D565B"/>
                                  <w:w w:val="105"/>
                                  <w:sz w:val="16"/>
                                </w:rPr>
                                <w:t>+</w:t>
                              </w:r>
                              <w:r>
                                <w:rPr>
                                  <w:b/>
                                  <w:color w:val="4D565B"/>
                                  <w:spacing w:val="-8"/>
                                  <w:w w:val="105"/>
                                  <w:sz w:val="16"/>
                                </w:rPr>
                                <w:t> </w:t>
                              </w:r>
                              <w:r>
                                <w:rPr>
                                  <w:b/>
                                  <w:color w:val="4D565B"/>
                                  <w:spacing w:val="-4"/>
                                  <w:w w:val="105"/>
                                  <w:sz w:val="16"/>
                                </w:rPr>
                                <w:t>pass-</w:t>
                              </w:r>
                            </w:p>
                            <w:p>
                              <w:pPr>
                                <w:spacing w:line="190" w:lineRule="exact" w:before="48"/>
                                <w:ind w:left="0" w:right="0" w:firstLine="0"/>
                                <w:jc w:val="left"/>
                                <w:rPr>
                                  <w:sz w:val="16"/>
                                </w:rPr>
                              </w:pPr>
                              <w:r>
                                <w:rPr>
                                  <w:color w:val="4D565B"/>
                                  <w:sz w:val="16"/>
                                </w:rPr>
                                <w:t>through</w:t>
                              </w:r>
                              <w:r>
                                <w:rPr>
                                  <w:color w:val="4D565B"/>
                                  <w:spacing w:val="17"/>
                                  <w:sz w:val="16"/>
                                </w:rPr>
                                <w:t> </w:t>
                              </w:r>
                              <w:r>
                                <w:rPr>
                                  <w:color w:val="4D565B"/>
                                  <w:spacing w:val="-2"/>
                                  <w:sz w:val="16"/>
                                </w:rPr>
                                <w:t>status</w:t>
                              </w:r>
                            </w:p>
                          </w:txbxContent>
                        </wps:txbx>
                        <wps:bodyPr wrap="square" lIns="0" tIns="0" rIns="0" bIns="0" rtlCol="0">
                          <a:noAutofit/>
                        </wps:bodyPr>
                      </wps:wsp>
                      <wps:wsp>
                        <wps:cNvPr id="32" name="Textbox 32"/>
                        <wps:cNvSpPr txBox="1"/>
                        <wps:spPr>
                          <a:xfrm>
                            <a:off x="4246879" y="874855"/>
                            <a:ext cx="695325" cy="270510"/>
                          </a:xfrm>
                          <a:prstGeom prst="rect">
                            <a:avLst/>
                          </a:prstGeom>
                        </wps:spPr>
                        <wps:txbx>
                          <w:txbxContent>
                            <w:p>
                              <w:pPr>
                                <w:spacing w:line="187" w:lineRule="exact" w:before="0"/>
                                <w:ind w:left="0" w:right="0" w:firstLine="0"/>
                                <w:jc w:val="left"/>
                                <w:rPr>
                                  <w:b/>
                                  <w:sz w:val="16"/>
                                </w:rPr>
                              </w:pPr>
                              <w:r>
                                <w:rPr>
                                  <w:b/>
                                  <w:color w:val="4D565B"/>
                                  <w:sz w:val="16"/>
                                </w:rPr>
                                <w:t>Contracting</w:t>
                              </w:r>
                              <w:r>
                                <w:rPr>
                                  <w:b/>
                                  <w:color w:val="4D565B"/>
                                  <w:spacing w:val="27"/>
                                  <w:sz w:val="16"/>
                                </w:rPr>
                                <w:t> </w:t>
                              </w:r>
                              <w:r>
                                <w:rPr>
                                  <w:b/>
                                  <w:color w:val="4D565B"/>
                                  <w:spacing w:val="-10"/>
                                  <w:sz w:val="16"/>
                                </w:rPr>
                                <w:t>+</w:t>
                              </w:r>
                            </w:p>
                            <w:p>
                              <w:pPr>
                                <w:spacing w:line="190" w:lineRule="exact" w:before="48"/>
                                <w:ind w:left="0" w:right="0" w:firstLine="0"/>
                                <w:jc w:val="left"/>
                                <w:rPr>
                                  <w:sz w:val="16"/>
                                </w:rPr>
                              </w:pPr>
                              <w:r>
                                <w:rPr>
                                  <w:color w:val="4D565B"/>
                                  <w:sz w:val="16"/>
                                </w:rPr>
                                <w:t>support</w:t>
                              </w:r>
                              <w:r>
                                <w:rPr>
                                  <w:color w:val="4D565B"/>
                                  <w:spacing w:val="17"/>
                                  <w:sz w:val="16"/>
                                </w:rPr>
                                <w:t> </w:t>
                              </w:r>
                              <w:r>
                                <w:rPr>
                                  <w:color w:val="4D565B"/>
                                  <w:spacing w:val="-2"/>
                                  <w:sz w:val="16"/>
                                </w:rPr>
                                <w:t>levers</w:t>
                              </w:r>
                            </w:p>
                          </w:txbxContent>
                        </wps:txbx>
                        <wps:bodyPr wrap="square" lIns="0" tIns="0" rIns="0" bIns="0" rtlCol="0">
                          <a:noAutofit/>
                        </wps:bodyPr>
                      </wps:wsp>
                    </wpg:wgp>
                  </a:graphicData>
                </a:graphic>
              </wp:anchor>
            </w:drawing>
          </mc:Choice>
          <mc:Fallback>
            <w:pict>
              <v:group style="position:absolute;margin-left:57.439999pt;margin-top:5.301629pt;width:420.8pt;height:102.8pt;mso-position-horizontal-relative:page;mso-position-vertical-relative:paragraph;z-index:-15728640;mso-wrap-distance-left:0;mso-wrap-distance-right:0" id="docshapegroup4" coordorigin="1149,106" coordsize="8416,2056">
                <v:shape style="position:absolute;left:1156;top:114;width:1900;height:840" id="docshape5" coordorigin="1157,114" coordsize="1900,840" path="m2897,114l1317,114,1254,127,1204,161,1169,212,1157,274,1157,794,1169,856,1204,907,1254,941,1317,954,2897,954,2959,941,3010,907,3044,856,3057,794,3057,274,3044,212,3010,161,2959,127,2897,114xe" filled="true" fillcolor="#edf4e6" stroked="false">
                  <v:path arrowok="t"/>
                  <v:fill type="solid"/>
                </v:shape>
                <v:shape style="position:absolute;left:1156;top:114;width:1900;height:840" id="docshape6" coordorigin="1157,114" coordsize="1900,840" path="m1317,954l2897,954,2959,941,3010,907,3044,856,3057,794,3057,274,3044,212,3010,161,2959,127,2897,114,1317,114,1254,127,1204,161,1169,212,1157,274,1157,794,1169,856,1204,907,1254,941,1317,954xe" filled="false" stroked="true" strokeweight=".8pt" strokecolor="#c8d3bf">
                  <v:path arrowok="t"/>
                  <v:stroke dashstyle="solid"/>
                </v:shape>
                <v:shape style="position:absolute;left:3316;top:114;width:1900;height:840" id="docshape7" coordorigin="3317,114" coordsize="1900,840" path="m5057,114l3477,114,3414,127,3364,161,3329,212,3317,274,3317,794,3329,856,3364,907,3414,941,3477,954,5057,954,5119,941,5170,907,5204,856,5217,794,5217,274,5204,212,5170,161,5119,127,5057,114xe" filled="true" fillcolor="#ffffff" stroked="false">
                  <v:path arrowok="t"/>
                  <v:fill type="solid"/>
                </v:shape>
                <v:shape style="position:absolute;left:3316;top:114;width:1900;height:840" id="docshape8" coordorigin="3317,114" coordsize="1900,840" path="m3477,954l5057,954,5119,941,5170,907,5204,856,5217,794,5217,274,5204,212,5170,161,5119,127,5057,114,3477,114,3414,127,3364,161,3329,212,3317,274,3317,794,3329,856,3364,907,3414,941,3477,954xe" filled="false" stroked="true" strokeweight=".8pt" strokecolor="#c8d3bf">
                  <v:path arrowok="t"/>
                  <v:stroke dashstyle="solid"/>
                </v:shape>
                <v:shape style="position:absolute;left:5476;top:114;width:1900;height:840" id="docshape9" coordorigin="5477,114" coordsize="1900,840" path="m7217,114l5637,114,5574,127,5524,161,5489,212,5477,274,5477,794,5489,856,5524,907,5574,941,5637,954,7217,954,7279,941,7330,907,7364,856,7377,794,7377,274,7364,212,7330,161,7279,127,7217,114xe" filled="true" fillcolor="#edf4e6" stroked="false">
                  <v:path arrowok="t"/>
                  <v:fill type="solid"/>
                </v:shape>
                <v:shape style="position:absolute;left:5476;top:114;width:1900;height:840" id="docshape10" coordorigin="5477,114" coordsize="1900,840" path="m5637,954l7217,954,7279,941,7330,907,7364,856,7377,794,7377,274,7364,212,7330,161,7279,127,7217,114,5637,114,5574,127,5524,161,5489,212,5477,274,5477,794,5489,856,5524,907,5574,941,5637,954xe" filled="false" stroked="true" strokeweight=".8pt" strokecolor="#c8d3bf">
                  <v:path arrowok="t"/>
                  <v:stroke dashstyle="solid"/>
                </v:shape>
                <v:shape style="position:absolute;left:7636;top:114;width:1920;height:840" id="docshape11" coordorigin="7637,114" coordsize="1920,840" path="m9397,114l7797,114,7734,127,7684,161,7649,212,7637,274,7637,794,7649,856,7684,907,7734,941,7797,954,9397,954,9459,941,9510,907,9544,856,9557,794,9557,274,9544,212,9510,161,9459,127,9397,114xe" filled="true" fillcolor="#ffffff" stroked="false">
                  <v:path arrowok="t"/>
                  <v:fill type="solid"/>
                </v:shape>
                <v:shape style="position:absolute;left:7636;top:114;width:1920;height:840" id="docshape12" coordorigin="7637,114" coordsize="1920,840" path="m7797,954l9397,954,9459,941,9510,907,9544,856,9557,794,9557,274,9544,212,9510,161,9459,127,9397,114,7797,114,7734,127,7684,161,7649,212,7637,274,7637,794,7649,856,7684,907,7734,941,7797,954xe" filled="false" stroked="true" strokeweight=".8pt" strokecolor="#c8d3bf">
                  <v:path arrowok="t"/>
                  <v:stroke dashstyle="solid"/>
                </v:shape>
                <v:shape style="position:absolute;left:3316;top:1314;width:1900;height:840" id="docshape13" coordorigin="3317,1314" coordsize="1900,840" path="m5057,1314l3477,1314,3414,1327,3364,1361,3329,1412,3317,1474,3317,1994,3329,2056,3364,2107,3414,2141,3477,2154,5057,2154,5119,2141,5170,2107,5204,2056,5217,1994,5217,1474,5204,1412,5170,1361,5119,1327,5057,1314xe" filled="true" fillcolor="#ffffff" stroked="false">
                  <v:path arrowok="t"/>
                  <v:fill type="solid"/>
                </v:shape>
                <v:shape style="position:absolute;left:3316;top:1314;width:1900;height:840" id="docshape14" coordorigin="3317,1314" coordsize="1900,840" path="m3477,2154l5057,2154,5119,2141,5170,2107,5204,2056,5217,1994,5217,1474,5204,1412,5170,1361,5119,1327,5057,1314,3477,1314,3414,1327,3364,1361,3329,1412,3317,1474,3317,1994,3329,2056,3364,2107,3414,2141,3477,2154xe" filled="false" stroked="true" strokeweight=".8pt" strokecolor="#c8d3bf">
                  <v:path arrowok="t"/>
                  <v:stroke dashstyle="solid"/>
                </v:shape>
                <v:shape style="position:absolute;left:5476;top:1314;width:1900;height:840" id="docshape15" coordorigin="5477,1314" coordsize="1900,840" path="m7217,1314l5637,1314,5574,1327,5524,1361,5489,1412,5477,1474,5477,1994,5489,2056,5524,2107,5574,2141,5637,2154,7217,2154,7279,2141,7330,2107,7364,2056,7377,1994,7377,1474,7364,1412,7330,1361,7279,1327,7217,1314xe" filled="true" fillcolor="#edf4e6" stroked="false">
                  <v:path arrowok="t"/>
                  <v:fill type="solid"/>
                </v:shape>
                <v:shape style="position:absolute;left:5476;top:1314;width:1900;height:840" id="docshape16" coordorigin="5477,1314" coordsize="1900,840" path="m5637,2154l7217,2154,7279,2141,7330,2107,7364,2056,7377,1994,7377,1474,7364,1412,7330,1361,7279,1327,7217,1314,5637,1314,5574,1327,5524,1361,5489,1412,5477,1474,5477,1994,5489,2056,5524,2107,5574,2141,5637,2154xe" filled="false" stroked="true" strokeweight=".8pt" strokecolor="#c8d3bf">
                  <v:path arrowok="t"/>
                  <v:stroke dashstyle="solid"/>
                </v:shape>
                <v:shape style="position:absolute;left:7636;top:1314;width:1920;height:840" id="docshape17" coordorigin="7637,1314" coordsize="1920,840" path="m9397,1314l7797,1314,7734,1327,7684,1361,7649,1412,7637,1474,7637,1994,7649,2056,7684,2107,7734,2141,7797,2154,9397,2154,9459,2141,9510,2107,9544,2056,9557,1994,9557,1474,9544,1412,9510,1361,9459,1327,9397,1314xe" filled="true" fillcolor="#ffffff" stroked="false">
                  <v:path arrowok="t"/>
                  <v:fill type="solid"/>
                </v:shape>
                <v:shape style="position:absolute;left:7636;top:1314;width:1920;height:840" id="docshape18" coordorigin="7637,1314" coordsize="1920,840" path="m7797,2154l9397,2154,9459,2141,9510,2107,9544,2056,9557,1994,9557,1474,9544,1412,9510,1361,9459,1327,9397,1314,7797,1314,7734,1327,7684,1361,7649,1412,7637,1474,7637,1994,7649,2056,7684,2107,7734,2141,7797,2154xe" filled="false" stroked="true" strokeweight=".8pt" strokecolor="#c8d3bf">
                  <v:path arrowok="t"/>
                  <v:stroke dashstyle="solid"/>
                </v:shape>
                <v:shape style="position:absolute;left:3056;top:464;width:270;height:140" type="#_x0000_t75" id="docshape19" stroked="false">
                  <v:imagedata r:id="rId7" o:title=""/>
                </v:shape>
                <v:shape style="position:absolute;left:5216;top:464;width:270;height:140" type="#_x0000_t75" id="docshape20" stroked="false">
                  <v:imagedata r:id="rId7" o:title=""/>
                </v:shape>
                <v:shape style="position:absolute;left:7376;top:464;width:270;height:140" type="#_x0000_t75" id="docshape21" stroked="false">
                  <v:imagedata r:id="rId7" o:title=""/>
                </v:shape>
                <v:shape style="position:absolute;left:5216;top:1664;width:270;height:140" type="#_x0000_t75" id="docshape22" stroked="false">
                  <v:imagedata r:id="rId7" o:title=""/>
                </v:shape>
                <v:shape style="position:absolute;left:7376;top:1664;width:270;height:140" type="#_x0000_t75" id="docshape23" stroked="false">
                  <v:imagedata r:id="rId7" o:title=""/>
                </v:shape>
                <v:shape style="position:absolute;left:4126;top:954;width:146;height:430" type="#_x0000_t75" id="docshape24" stroked="false">
                  <v:imagedata r:id="rId8" o:title=""/>
                </v:shape>
                <v:shape style="position:absolute;left:6286;top:954;width:146;height:430" type="#_x0000_t75" id="docshape25" stroked="false">
                  <v:imagedata r:id="rId8" o:title=""/>
                </v:shape>
                <v:shapetype id="_x0000_t202" o:spt="202" coordsize="21600,21600" path="m,l,21600r21600,l21600,xe">
                  <v:stroke joinstyle="miter"/>
                  <v:path gradientshapeok="t" o:connecttype="rect"/>
                </v:shapetype>
                <v:shape style="position:absolute;left:1356;top:283;width:1031;height:186" type="#_x0000_t202" id="docshape26" filled="false" stroked="false">
                  <v:textbox inset="0,0,0,0">
                    <w:txbxContent>
                      <w:p>
                        <w:pPr>
                          <w:spacing w:line="185" w:lineRule="exact" w:before="0"/>
                          <w:ind w:left="0" w:right="0" w:firstLine="0"/>
                          <w:jc w:val="left"/>
                          <w:rPr>
                            <w:b/>
                            <w:sz w:val="16"/>
                          </w:rPr>
                        </w:pPr>
                        <w:r>
                          <w:rPr>
                            <w:b/>
                            <w:color w:val="4D565B"/>
                            <w:w w:val="105"/>
                            <w:sz w:val="16"/>
                          </w:rPr>
                          <w:t>Payer</w:t>
                        </w:r>
                        <w:r>
                          <w:rPr>
                            <w:b/>
                            <w:color w:val="4D565B"/>
                            <w:spacing w:val="-7"/>
                            <w:w w:val="105"/>
                            <w:sz w:val="16"/>
                          </w:rPr>
                          <w:t> </w:t>
                        </w:r>
                        <w:r>
                          <w:rPr>
                            <w:b/>
                            <w:color w:val="4D565B"/>
                            <w:w w:val="105"/>
                            <w:sz w:val="16"/>
                          </w:rPr>
                          <w:t>+</w:t>
                        </w:r>
                        <w:r>
                          <w:rPr>
                            <w:b/>
                            <w:color w:val="4D565B"/>
                            <w:spacing w:val="-7"/>
                            <w:w w:val="105"/>
                            <w:sz w:val="16"/>
                          </w:rPr>
                          <w:t> </w:t>
                        </w:r>
                        <w:r>
                          <w:rPr>
                            <w:b/>
                            <w:color w:val="4D565B"/>
                            <w:spacing w:val="-5"/>
                            <w:w w:val="105"/>
                            <w:sz w:val="16"/>
                          </w:rPr>
                          <w:t>PBM</w:t>
                        </w:r>
                      </w:p>
                    </w:txbxContent>
                  </v:textbox>
                  <w10:wrap type="none"/>
                </v:shape>
                <v:shape style="position:absolute;left:3516;top:283;width:749;height:426" type="#_x0000_t202" id="docshape27" filled="false" stroked="false">
                  <v:textbox inset="0,0,0,0">
                    <w:txbxContent>
                      <w:p>
                        <w:pPr>
                          <w:spacing w:line="187" w:lineRule="exact" w:before="0"/>
                          <w:ind w:left="0" w:right="0" w:firstLine="0"/>
                          <w:jc w:val="left"/>
                          <w:rPr>
                            <w:b/>
                            <w:sz w:val="16"/>
                          </w:rPr>
                        </w:pPr>
                        <w:r>
                          <w:rPr>
                            <w:b/>
                            <w:color w:val="4D565B"/>
                            <w:spacing w:val="-2"/>
                            <w:w w:val="105"/>
                            <w:sz w:val="16"/>
                          </w:rPr>
                          <w:t>Specialty</w:t>
                        </w:r>
                      </w:p>
                      <w:p>
                        <w:pPr>
                          <w:spacing w:line="190" w:lineRule="exact" w:before="48"/>
                          <w:ind w:left="0" w:right="0" w:firstLine="0"/>
                          <w:jc w:val="left"/>
                          <w:rPr>
                            <w:sz w:val="16"/>
                          </w:rPr>
                        </w:pPr>
                        <w:r>
                          <w:rPr>
                            <w:color w:val="4D565B"/>
                            <w:spacing w:val="-2"/>
                            <w:w w:val="105"/>
                            <w:sz w:val="16"/>
                          </w:rPr>
                          <w:t>pharmacy</w:t>
                        </w:r>
                      </w:p>
                    </w:txbxContent>
                  </v:textbox>
                  <w10:wrap type="none"/>
                </v:shape>
                <v:shape style="position:absolute;left:5676;top:283;width:1349;height:426" type="#_x0000_t202" id="docshape28" filled="false" stroked="false">
                  <v:textbox inset="0,0,0,0">
                    <w:txbxContent>
                      <w:p>
                        <w:pPr>
                          <w:spacing w:line="187" w:lineRule="exact" w:before="0"/>
                          <w:ind w:left="0" w:right="0" w:firstLine="0"/>
                          <w:jc w:val="left"/>
                          <w:rPr>
                            <w:b/>
                            <w:sz w:val="16"/>
                          </w:rPr>
                        </w:pPr>
                        <w:r>
                          <w:rPr>
                            <w:b/>
                            <w:color w:val="4D565B"/>
                            <w:w w:val="105"/>
                            <w:sz w:val="16"/>
                          </w:rPr>
                          <w:t>Hospital</w:t>
                        </w:r>
                        <w:r>
                          <w:rPr>
                            <w:b/>
                            <w:color w:val="4D565B"/>
                            <w:spacing w:val="-8"/>
                            <w:w w:val="105"/>
                            <w:sz w:val="16"/>
                          </w:rPr>
                          <w:t> </w:t>
                        </w:r>
                        <w:r>
                          <w:rPr>
                            <w:b/>
                            <w:color w:val="4D565B"/>
                            <w:w w:val="105"/>
                            <w:sz w:val="16"/>
                          </w:rPr>
                          <w:t>/</w:t>
                        </w:r>
                        <w:r>
                          <w:rPr>
                            <w:b/>
                            <w:color w:val="4D565B"/>
                            <w:spacing w:val="-8"/>
                            <w:w w:val="105"/>
                            <w:sz w:val="16"/>
                          </w:rPr>
                          <w:t> </w:t>
                        </w:r>
                        <w:r>
                          <w:rPr>
                            <w:b/>
                            <w:color w:val="4D565B"/>
                            <w:spacing w:val="-5"/>
                            <w:w w:val="105"/>
                            <w:sz w:val="16"/>
                          </w:rPr>
                          <w:t>COE</w:t>
                        </w:r>
                      </w:p>
                      <w:p>
                        <w:pPr>
                          <w:spacing w:line="190" w:lineRule="exact" w:before="48"/>
                          <w:ind w:left="0" w:right="0" w:firstLine="0"/>
                          <w:jc w:val="left"/>
                          <w:rPr>
                            <w:sz w:val="16"/>
                          </w:rPr>
                        </w:pPr>
                        <w:r>
                          <w:rPr>
                            <w:color w:val="4D565B"/>
                            <w:w w:val="105"/>
                            <w:sz w:val="16"/>
                          </w:rPr>
                          <w:t>or</w:t>
                        </w:r>
                        <w:r>
                          <w:rPr>
                            <w:color w:val="4D565B"/>
                            <w:spacing w:val="-10"/>
                            <w:w w:val="105"/>
                            <w:sz w:val="16"/>
                          </w:rPr>
                          <w:t> </w:t>
                        </w:r>
                        <w:r>
                          <w:rPr>
                            <w:color w:val="4D565B"/>
                            <w:w w:val="105"/>
                            <w:sz w:val="16"/>
                          </w:rPr>
                          <w:t>physician</w:t>
                        </w:r>
                        <w:r>
                          <w:rPr>
                            <w:color w:val="4D565B"/>
                            <w:spacing w:val="-9"/>
                            <w:w w:val="105"/>
                            <w:sz w:val="16"/>
                          </w:rPr>
                          <w:t> </w:t>
                        </w:r>
                        <w:r>
                          <w:rPr>
                            <w:color w:val="4D565B"/>
                            <w:spacing w:val="-2"/>
                            <w:w w:val="105"/>
                            <w:sz w:val="16"/>
                          </w:rPr>
                          <w:t>office</w:t>
                        </w:r>
                      </w:p>
                    </w:txbxContent>
                  </v:textbox>
                  <w10:wrap type="none"/>
                </v:shape>
                <v:shape style="position:absolute;left:7836;top:283;width:989;height:426" type="#_x0000_t202" id="docshape29" filled="false" stroked="false">
                  <v:textbox inset="0,0,0,0">
                    <w:txbxContent>
                      <w:p>
                        <w:pPr>
                          <w:spacing w:line="187" w:lineRule="exact" w:before="0"/>
                          <w:ind w:left="0" w:right="0" w:firstLine="0"/>
                          <w:jc w:val="left"/>
                          <w:rPr>
                            <w:b/>
                            <w:sz w:val="16"/>
                          </w:rPr>
                        </w:pPr>
                        <w:r>
                          <w:rPr>
                            <w:b/>
                            <w:color w:val="4D565B"/>
                            <w:sz w:val="16"/>
                          </w:rPr>
                          <w:t>Provider</w:t>
                        </w:r>
                        <w:r>
                          <w:rPr>
                            <w:b/>
                            <w:color w:val="4D565B"/>
                            <w:spacing w:val="20"/>
                            <w:sz w:val="16"/>
                          </w:rPr>
                          <w:t> </w:t>
                        </w:r>
                        <w:r>
                          <w:rPr>
                            <w:b/>
                            <w:color w:val="4D565B"/>
                            <w:spacing w:val="-5"/>
                            <w:sz w:val="16"/>
                          </w:rPr>
                          <w:t>net</w:t>
                        </w:r>
                      </w:p>
                      <w:p>
                        <w:pPr>
                          <w:spacing w:line="190" w:lineRule="exact" w:before="48"/>
                          <w:ind w:left="0" w:right="0" w:firstLine="0"/>
                          <w:jc w:val="left"/>
                          <w:rPr>
                            <w:sz w:val="16"/>
                          </w:rPr>
                        </w:pPr>
                        <w:r>
                          <w:rPr>
                            <w:color w:val="4D565B"/>
                            <w:w w:val="105"/>
                            <w:sz w:val="16"/>
                          </w:rPr>
                          <w:t>margin</w:t>
                        </w:r>
                        <w:r>
                          <w:rPr>
                            <w:color w:val="4D565B"/>
                            <w:spacing w:val="-13"/>
                            <w:w w:val="105"/>
                            <w:sz w:val="16"/>
                          </w:rPr>
                          <w:t> </w:t>
                        </w:r>
                        <w:r>
                          <w:rPr>
                            <w:color w:val="4D565B"/>
                            <w:spacing w:val="-2"/>
                            <w:w w:val="105"/>
                            <w:sz w:val="16"/>
                          </w:rPr>
                          <w:t>result</w:t>
                        </w:r>
                      </w:p>
                    </w:txbxContent>
                  </v:textbox>
                  <w10:wrap type="none"/>
                </v:shape>
                <v:shape style="position:absolute;left:3516;top:1483;width:1266;height:426" type="#_x0000_t202" id="docshape30" filled="false" stroked="false">
                  <v:textbox inset="0,0,0,0">
                    <w:txbxContent>
                      <w:p>
                        <w:pPr>
                          <w:spacing w:line="187" w:lineRule="exact" w:before="0"/>
                          <w:ind w:left="0" w:right="0" w:firstLine="0"/>
                          <w:jc w:val="left"/>
                          <w:rPr>
                            <w:b/>
                            <w:sz w:val="16"/>
                          </w:rPr>
                        </w:pPr>
                        <w:r>
                          <w:rPr>
                            <w:b/>
                            <w:color w:val="4D565B"/>
                            <w:w w:val="105"/>
                            <w:sz w:val="16"/>
                          </w:rPr>
                          <w:t>340B</w:t>
                        </w:r>
                        <w:r>
                          <w:rPr>
                            <w:b/>
                            <w:color w:val="4D565B"/>
                            <w:spacing w:val="-6"/>
                            <w:w w:val="105"/>
                            <w:sz w:val="16"/>
                          </w:rPr>
                          <w:t> </w:t>
                        </w:r>
                        <w:r>
                          <w:rPr>
                            <w:b/>
                            <w:color w:val="4D565B"/>
                            <w:w w:val="105"/>
                            <w:sz w:val="16"/>
                          </w:rPr>
                          <w:t>/</w:t>
                        </w:r>
                        <w:r>
                          <w:rPr>
                            <w:b/>
                            <w:color w:val="4D565B"/>
                            <w:spacing w:val="-5"/>
                            <w:w w:val="105"/>
                            <w:sz w:val="16"/>
                          </w:rPr>
                          <w:t> </w:t>
                        </w:r>
                        <w:r>
                          <w:rPr>
                            <w:b/>
                            <w:color w:val="4D565B"/>
                            <w:spacing w:val="-2"/>
                            <w:w w:val="105"/>
                            <w:sz w:val="16"/>
                          </w:rPr>
                          <w:t>Medicaid</w:t>
                        </w:r>
                      </w:p>
                      <w:p>
                        <w:pPr>
                          <w:spacing w:line="190" w:lineRule="exact" w:before="48"/>
                          <w:ind w:left="0" w:right="0" w:firstLine="0"/>
                          <w:jc w:val="left"/>
                          <w:rPr>
                            <w:sz w:val="16"/>
                          </w:rPr>
                        </w:pPr>
                        <w:r>
                          <w:rPr>
                            <w:color w:val="4D565B"/>
                            <w:w w:val="105"/>
                            <w:sz w:val="16"/>
                          </w:rPr>
                          <w:t>claim</w:t>
                        </w:r>
                        <w:r>
                          <w:rPr>
                            <w:color w:val="4D565B"/>
                            <w:spacing w:val="-9"/>
                            <w:w w:val="105"/>
                            <w:sz w:val="16"/>
                          </w:rPr>
                          <w:t> </w:t>
                        </w:r>
                        <w:r>
                          <w:rPr>
                            <w:color w:val="4D565B"/>
                            <w:spacing w:val="-4"/>
                            <w:w w:val="105"/>
                            <w:sz w:val="16"/>
                          </w:rPr>
                          <w:t>path</w:t>
                        </w:r>
                      </w:p>
                    </w:txbxContent>
                  </v:textbox>
                  <w10:wrap type="none"/>
                </v:shape>
                <v:shape style="position:absolute;left:5676;top:1483;width:1215;height:426" type="#_x0000_t202" id="docshape31" filled="false" stroked="false">
                  <v:textbox inset="0,0,0,0">
                    <w:txbxContent>
                      <w:p>
                        <w:pPr>
                          <w:spacing w:line="187" w:lineRule="exact" w:before="0"/>
                          <w:ind w:left="0" w:right="0" w:firstLine="0"/>
                          <w:jc w:val="left"/>
                          <w:rPr>
                            <w:b/>
                            <w:sz w:val="16"/>
                          </w:rPr>
                        </w:pPr>
                        <w:r>
                          <w:rPr>
                            <w:b/>
                            <w:color w:val="4D565B"/>
                            <w:w w:val="105"/>
                            <w:sz w:val="16"/>
                          </w:rPr>
                          <w:t>Coding</w:t>
                        </w:r>
                        <w:r>
                          <w:rPr>
                            <w:b/>
                            <w:color w:val="4D565B"/>
                            <w:spacing w:val="-8"/>
                            <w:w w:val="105"/>
                            <w:sz w:val="16"/>
                          </w:rPr>
                          <w:t> </w:t>
                        </w:r>
                        <w:r>
                          <w:rPr>
                            <w:b/>
                            <w:color w:val="4D565B"/>
                            <w:w w:val="105"/>
                            <w:sz w:val="16"/>
                          </w:rPr>
                          <w:t>+</w:t>
                        </w:r>
                        <w:r>
                          <w:rPr>
                            <w:b/>
                            <w:color w:val="4D565B"/>
                            <w:spacing w:val="-8"/>
                            <w:w w:val="105"/>
                            <w:sz w:val="16"/>
                          </w:rPr>
                          <w:t> </w:t>
                        </w:r>
                        <w:r>
                          <w:rPr>
                            <w:b/>
                            <w:color w:val="4D565B"/>
                            <w:spacing w:val="-4"/>
                            <w:w w:val="105"/>
                            <w:sz w:val="16"/>
                          </w:rPr>
                          <w:t>pass-</w:t>
                        </w:r>
                      </w:p>
                      <w:p>
                        <w:pPr>
                          <w:spacing w:line="190" w:lineRule="exact" w:before="48"/>
                          <w:ind w:left="0" w:right="0" w:firstLine="0"/>
                          <w:jc w:val="left"/>
                          <w:rPr>
                            <w:sz w:val="16"/>
                          </w:rPr>
                        </w:pPr>
                        <w:r>
                          <w:rPr>
                            <w:color w:val="4D565B"/>
                            <w:sz w:val="16"/>
                          </w:rPr>
                          <w:t>through</w:t>
                        </w:r>
                        <w:r>
                          <w:rPr>
                            <w:color w:val="4D565B"/>
                            <w:spacing w:val="17"/>
                            <w:sz w:val="16"/>
                          </w:rPr>
                          <w:t> </w:t>
                        </w:r>
                        <w:r>
                          <w:rPr>
                            <w:color w:val="4D565B"/>
                            <w:spacing w:val="-2"/>
                            <w:sz w:val="16"/>
                          </w:rPr>
                          <w:t>status</w:t>
                        </w:r>
                      </w:p>
                    </w:txbxContent>
                  </v:textbox>
                  <w10:wrap type="none"/>
                </v:shape>
                <v:shape style="position:absolute;left:7836;top:1483;width:1095;height:426" type="#_x0000_t202" id="docshape32" filled="false" stroked="false">
                  <v:textbox inset="0,0,0,0">
                    <w:txbxContent>
                      <w:p>
                        <w:pPr>
                          <w:spacing w:line="187" w:lineRule="exact" w:before="0"/>
                          <w:ind w:left="0" w:right="0" w:firstLine="0"/>
                          <w:jc w:val="left"/>
                          <w:rPr>
                            <w:b/>
                            <w:sz w:val="16"/>
                          </w:rPr>
                        </w:pPr>
                        <w:r>
                          <w:rPr>
                            <w:b/>
                            <w:color w:val="4D565B"/>
                            <w:sz w:val="16"/>
                          </w:rPr>
                          <w:t>Contracting</w:t>
                        </w:r>
                        <w:r>
                          <w:rPr>
                            <w:b/>
                            <w:color w:val="4D565B"/>
                            <w:spacing w:val="27"/>
                            <w:sz w:val="16"/>
                          </w:rPr>
                          <w:t> </w:t>
                        </w:r>
                        <w:r>
                          <w:rPr>
                            <w:b/>
                            <w:color w:val="4D565B"/>
                            <w:spacing w:val="-10"/>
                            <w:sz w:val="16"/>
                          </w:rPr>
                          <w:t>+</w:t>
                        </w:r>
                      </w:p>
                      <w:p>
                        <w:pPr>
                          <w:spacing w:line="190" w:lineRule="exact" w:before="48"/>
                          <w:ind w:left="0" w:right="0" w:firstLine="0"/>
                          <w:jc w:val="left"/>
                          <w:rPr>
                            <w:sz w:val="16"/>
                          </w:rPr>
                        </w:pPr>
                        <w:r>
                          <w:rPr>
                            <w:color w:val="4D565B"/>
                            <w:sz w:val="16"/>
                          </w:rPr>
                          <w:t>support</w:t>
                        </w:r>
                        <w:r>
                          <w:rPr>
                            <w:color w:val="4D565B"/>
                            <w:spacing w:val="17"/>
                            <w:sz w:val="16"/>
                          </w:rPr>
                          <w:t> </w:t>
                        </w:r>
                        <w:r>
                          <w:rPr>
                            <w:color w:val="4D565B"/>
                            <w:spacing w:val="-2"/>
                            <w:sz w:val="16"/>
                          </w:rPr>
                          <w:t>levers</w:t>
                        </w:r>
                      </w:p>
                    </w:txbxContent>
                  </v:textbox>
                  <w10:wrap type="none"/>
                </v:shape>
                <w10:wrap type="topAndBottom"/>
              </v:group>
            </w:pict>
          </mc:Fallback>
        </mc:AlternateContent>
      </w:r>
    </w:p>
    <w:p>
      <w:pPr>
        <w:spacing w:before="6"/>
        <w:ind w:left="496" w:right="0" w:firstLine="0"/>
        <w:jc w:val="left"/>
        <w:rPr>
          <w:sz w:val="15"/>
        </w:rPr>
      </w:pPr>
      <w:r>
        <w:rPr>
          <w:color w:val="6E7579"/>
          <w:sz w:val="15"/>
        </w:rPr>
        <w:t>The model links reimbursement channel, site of care, coding status, and contracting support to provider margin and working </w:t>
      </w:r>
      <w:r>
        <w:rPr>
          <w:color w:val="6E7579"/>
          <w:spacing w:val="-2"/>
          <w:sz w:val="15"/>
        </w:rPr>
        <w:t>capital.</w:t>
      </w:r>
    </w:p>
    <w:p>
      <w:pPr>
        <w:pStyle w:val="BodyText"/>
        <w:spacing w:before="10"/>
        <w:rPr>
          <w:sz w:val="10"/>
        </w:rPr>
      </w:pPr>
      <w:r>
        <w:rPr>
          <w:sz w:val="10"/>
        </w:rPr>
        <mc:AlternateContent>
          <mc:Choice Requires="wps">
            <w:drawing>
              <wp:anchor distT="0" distB="0" distL="0" distR="0" allowOverlap="1" layoutInCell="1" locked="0" behindDoc="1" simplePos="0" relativeHeight="487588352">
                <wp:simplePos x="0" y="0"/>
                <wp:positionH relativeFrom="page">
                  <wp:posOffset>734568</wp:posOffset>
                </wp:positionH>
                <wp:positionV relativeFrom="paragraph">
                  <wp:posOffset>98232</wp:posOffset>
                </wp:positionV>
                <wp:extent cx="6303645" cy="127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6303645" cy="1270"/>
                        </a:xfrm>
                        <a:custGeom>
                          <a:avLst/>
                          <a:gdLst/>
                          <a:ahLst/>
                          <a:cxnLst/>
                          <a:rect l="l" t="t" r="r" b="b"/>
                          <a:pathLst>
                            <a:path w="6303645" h="0">
                              <a:moveTo>
                                <a:pt x="0" y="0"/>
                              </a:moveTo>
                              <a:lnTo>
                                <a:pt x="6303264" y="0"/>
                              </a:lnTo>
                            </a:path>
                          </a:pathLst>
                        </a:custGeom>
                        <a:ln w="10160">
                          <a:solidFill>
                            <a:srgbClr val="C8D3BF"/>
                          </a:solidFill>
                          <a:prstDash val="solid"/>
                        </a:ln>
                      </wps:spPr>
                      <wps:bodyPr wrap="square" lIns="0" tIns="0" rIns="0" bIns="0" rtlCol="0">
                        <a:prstTxWarp prst="textNoShape">
                          <a:avLst/>
                        </a:prstTxWarp>
                        <a:noAutofit/>
                      </wps:bodyPr>
                    </wps:wsp>
                  </a:graphicData>
                </a:graphic>
              </wp:anchor>
            </w:drawing>
          </mc:Choice>
          <mc:Fallback>
            <w:pict>
              <v:shape style="position:absolute;margin-left:57.84pt;margin-top:7.734873pt;width:496.35pt;height:.1pt;mso-position-horizontal-relative:page;mso-position-vertical-relative:paragraph;z-index:-15728128;mso-wrap-distance-left:0;mso-wrap-distance-right:0" id="docshape33" coordorigin="1157,155" coordsize="9927,0" path="m1157,155l11083,155e" filled="false" stroked="true" strokeweight=".8pt" strokecolor="#c8d3bf">
                <v:path arrowok="t"/>
                <v:stroke dashstyle="solid"/>
                <w10:wrap type="topAndBottom"/>
              </v:shape>
            </w:pict>
          </mc:Fallback>
        </mc:AlternateContent>
      </w:r>
    </w:p>
    <w:p>
      <w:pPr>
        <w:pStyle w:val="Heading2"/>
        <w:spacing w:before="237"/>
      </w:pPr>
      <w:r>
        <w:rPr>
          <w:color w:val="5B8C2B"/>
        </w:rPr>
        <w:t>What</w:t>
      </w:r>
      <w:r>
        <w:rPr>
          <w:color w:val="5B8C2B"/>
          <w:spacing w:val="-7"/>
        </w:rPr>
        <w:t> </w:t>
      </w:r>
      <w:r>
        <w:rPr>
          <w:color w:val="5B8C2B"/>
        </w:rPr>
        <w:t>the</w:t>
      </w:r>
      <w:r>
        <w:rPr>
          <w:color w:val="5B8C2B"/>
          <w:spacing w:val="-7"/>
        </w:rPr>
        <w:t> </w:t>
      </w:r>
      <w:r>
        <w:rPr>
          <w:color w:val="5B8C2B"/>
        </w:rPr>
        <w:t>model</w:t>
      </w:r>
      <w:r>
        <w:rPr>
          <w:color w:val="5B8C2B"/>
          <w:spacing w:val="-7"/>
        </w:rPr>
        <w:t> </w:t>
      </w:r>
      <w:r>
        <w:rPr>
          <w:color w:val="5B8C2B"/>
          <w:spacing w:val="-5"/>
        </w:rPr>
        <w:t>is</w:t>
      </w:r>
    </w:p>
    <w:p>
      <w:pPr>
        <w:pStyle w:val="BodyText"/>
        <w:spacing w:line="283" w:lineRule="auto" w:before="126"/>
        <w:ind w:left="436" w:right="521"/>
      </w:pPr>
      <w:r>
        <w:rPr>
          <w:color w:val="4D565B"/>
        </w:rPr>
        <w:t>The provider net cost calculator is a scenario-based decision tool that converts payer rules and channel mechanics into center-level economics. It is not a list-price or gross-to-net model. It is a reimbursement execution model built from the provider perspective. For each payer, site of care, and channel, it will estimate expected reimbursement, inventory at risk, time to cash, denial exposure, administration economics, and the break-even level of manufacturer support needed to keep the provider whole. [3][4][5][6][7][8][9][10][11][12]</w:t>
      </w:r>
    </w:p>
    <w:p>
      <w:pPr>
        <w:pStyle w:val="BodyText"/>
        <w:spacing w:line="283" w:lineRule="auto" w:before="144"/>
        <w:ind w:left="436" w:right="433"/>
      </w:pPr>
      <w:r>
        <w:rPr>
          <w:color w:val="4D565B"/>
        </w:rPr>
        <w:t>Adrabetadex is an especially strong use case for this type of model. The product is high cost, likely hospital-centered, and clinically differentiated in an ultra-rare pediatric disease. The working launch assumption is $39,000 per 900 mg vial every two weeks, or $1,014,000 of annual gross drug exposure before administration cost. In that setting, a provider does not need many unpaid claims or many delayed payments for the treatment pathway to become financially unattractive. [1][2][3]</w:t>
      </w:r>
    </w:p>
    <w:p>
      <w:pPr>
        <w:pStyle w:val="BodyText"/>
        <w:spacing w:before="4" w:after="1"/>
        <w:rPr>
          <w:sz w:val="10"/>
        </w:rPr>
      </w:pPr>
    </w:p>
    <w:tbl>
      <w:tblPr>
        <w:tblW w:w="0" w:type="auto"/>
        <w:jc w:val="left"/>
        <w:tblInd w:w="653" w:type="dxa"/>
        <w:tblBorders>
          <w:top w:val="single" w:sz="12" w:space="0" w:color="5B8C2B"/>
          <w:left w:val="single" w:sz="12" w:space="0" w:color="5B8C2B"/>
          <w:bottom w:val="single" w:sz="12" w:space="0" w:color="5B8C2B"/>
          <w:right w:val="single" w:sz="12" w:space="0" w:color="5B8C2B"/>
          <w:insideH w:val="single" w:sz="12" w:space="0" w:color="5B8C2B"/>
          <w:insideV w:val="single" w:sz="12" w:space="0" w:color="5B8C2B"/>
        </w:tblBorders>
        <w:tblLayout w:type="fixed"/>
        <w:tblCellMar>
          <w:top w:w="0" w:type="dxa"/>
          <w:left w:w="0" w:type="dxa"/>
          <w:bottom w:w="0" w:type="dxa"/>
          <w:right w:w="0" w:type="dxa"/>
        </w:tblCellMar>
        <w:tblLook w:val="01E0"/>
      </w:tblPr>
      <w:tblGrid>
        <w:gridCol w:w="2016"/>
        <w:gridCol w:w="4464"/>
        <w:gridCol w:w="3024"/>
      </w:tblGrid>
      <w:tr>
        <w:trPr>
          <w:trHeight w:val="384" w:hRule="atLeast"/>
        </w:trPr>
        <w:tc>
          <w:tcPr>
            <w:tcW w:w="2016" w:type="dxa"/>
            <w:tcBorders>
              <w:left w:val="single" w:sz="4" w:space="0" w:color="C8D3BF"/>
              <w:bottom w:val="single" w:sz="4" w:space="0" w:color="C8D3BF"/>
              <w:right w:val="single" w:sz="4" w:space="0" w:color="C8D3BF"/>
            </w:tcBorders>
            <w:shd w:val="clear" w:color="auto" w:fill="EDF4E6"/>
          </w:tcPr>
          <w:p>
            <w:pPr>
              <w:pStyle w:val="TableParagraph"/>
              <w:spacing w:before="88"/>
              <w:rPr>
                <w:b/>
                <w:sz w:val="17"/>
              </w:rPr>
            </w:pPr>
            <w:r>
              <w:rPr>
                <w:b/>
                <w:color w:val="42691F"/>
                <w:sz w:val="17"/>
              </w:rPr>
              <w:t>Model</w:t>
            </w:r>
            <w:r>
              <w:rPr>
                <w:b/>
                <w:color w:val="42691F"/>
                <w:spacing w:val="-11"/>
                <w:sz w:val="17"/>
              </w:rPr>
              <w:t> </w:t>
            </w:r>
            <w:r>
              <w:rPr>
                <w:b/>
                <w:color w:val="42691F"/>
                <w:spacing w:val="-4"/>
                <w:sz w:val="17"/>
              </w:rPr>
              <w:t>area</w:t>
            </w:r>
          </w:p>
        </w:tc>
        <w:tc>
          <w:tcPr>
            <w:tcW w:w="4464" w:type="dxa"/>
            <w:tcBorders>
              <w:left w:val="single" w:sz="4" w:space="0" w:color="C8D3BF"/>
              <w:bottom w:val="single" w:sz="4" w:space="0" w:color="C8D3BF"/>
              <w:right w:val="single" w:sz="4" w:space="0" w:color="C8D3BF"/>
            </w:tcBorders>
            <w:shd w:val="clear" w:color="auto" w:fill="EDF4E6"/>
          </w:tcPr>
          <w:p>
            <w:pPr>
              <w:pStyle w:val="TableParagraph"/>
              <w:spacing w:before="88"/>
              <w:rPr>
                <w:b/>
                <w:sz w:val="17"/>
              </w:rPr>
            </w:pPr>
            <w:r>
              <w:rPr>
                <w:b/>
                <w:color w:val="42691F"/>
                <w:sz w:val="17"/>
              </w:rPr>
              <w:t>What</w:t>
            </w:r>
            <w:r>
              <w:rPr>
                <w:b/>
                <w:color w:val="42691F"/>
                <w:spacing w:val="-10"/>
                <w:sz w:val="17"/>
              </w:rPr>
              <w:t> </w:t>
            </w:r>
            <w:r>
              <w:rPr>
                <w:b/>
                <w:color w:val="42691F"/>
                <w:sz w:val="17"/>
              </w:rPr>
              <w:t>the</w:t>
            </w:r>
            <w:r>
              <w:rPr>
                <w:b/>
                <w:color w:val="42691F"/>
                <w:spacing w:val="-10"/>
                <w:sz w:val="17"/>
              </w:rPr>
              <w:t> </w:t>
            </w:r>
            <w:r>
              <w:rPr>
                <w:b/>
                <w:color w:val="42691F"/>
                <w:sz w:val="17"/>
              </w:rPr>
              <w:t>calculator</w:t>
            </w:r>
            <w:r>
              <w:rPr>
                <w:b/>
                <w:color w:val="42691F"/>
                <w:spacing w:val="-10"/>
                <w:sz w:val="17"/>
              </w:rPr>
              <w:t> </w:t>
            </w:r>
            <w:r>
              <w:rPr>
                <w:b/>
                <w:color w:val="42691F"/>
                <w:sz w:val="17"/>
              </w:rPr>
              <w:t>will</w:t>
            </w:r>
            <w:r>
              <w:rPr>
                <w:b/>
                <w:color w:val="42691F"/>
                <w:spacing w:val="-9"/>
                <w:sz w:val="17"/>
              </w:rPr>
              <w:t> </w:t>
            </w:r>
            <w:r>
              <w:rPr>
                <w:b/>
                <w:color w:val="42691F"/>
                <w:spacing w:val="-2"/>
                <w:sz w:val="17"/>
              </w:rPr>
              <w:t>capture</w:t>
            </w:r>
          </w:p>
        </w:tc>
        <w:tc>
          <w:tcPr>
            <w:tcW w:w="3024" w:type="dxa"/>
            <w:tcBorders>
              <w:left w:val="single" w:sz="4" w:space="0" w:color="C8D3BF"/>
              <w:bottom w:val="single" w:sz="4" w:space="0" w:color="C8D3BF"/>
              <w:right w:val="single" w:sz="4" w:space="0" w:color="C8D3BF"/>
            </w:tcBorders>
            <w:shd w:val="clear" w:color="auto" w:fill="EDF4E6"/>
          </w:tcPr>
          <w:p>
            <w:pPr>
              <w:pStyle w:val="TableParagraph"/>
              <w:spacing w:before="88"/>
              <w:rPr>
                <w:b/>
                <w:sz w:val="17"/>
              </w:rPr>
            </w:pPr>
            <w:r>
              <w:rPr>
                <w:b/>
                <w:color w:val="42691F"/>
                <w:sz w:val="17"/>
              </w:rPr>
              <w:t>Why</w:t>
            </w:r>
            <w:r>
              <w:rPr>
                <w:b/>
                <w:color w:val="42691F"/>
                <w:spacing w:val="-9"/>
                <w:sz w:val="17"/>
              </w:rPr>
              <w:t> </w:t>
            </w:r>
            <w:r>
              <w:rPr>
                <w:b/>
                <w:color w:val="42691F"/>
                <w:sz w:val="17"/>
              </w:rPr>
              <w:t>the</w:t>
            </w:r>
            <w:r>
              <w:rPr>
                <w:b/>
                <w:color w:val="42691F"/>
                <w:spacing w:val="-9"/>
                <w:sz w:val="17"/>
              </w:rPr>
              <w:t> </w:t>
            </w:r>
            <w:r>
              <w:rPr>
                <w:b/>
                <w:color w:val="42691F"/>
                <w:sz w:val="17"/>
              </w:rPr>
              <w:t>output</w:t>
            </w:r>
            <w:r>
              <w:rPr>
                <w:b/>
                <w:color w:val="42691F"/>
                <w:spacing w:val="-8"/>
                <w:sz w:val="17"/>
              </w:rPr>
              <w:t> </w:t>
            </w:r>
            <w:r>
              <w:rPr>
                <w:b/>
                <w:color w:val="42691F"/>
                <w:spacing w:val="-2"/>
                <w:sz w:val="17"/>
              </w:rPr>
              <w:t>matters</w:t>
            </w:r>
          </w:p>
        </w:tc>
      </w:tr>
      <w:tr>
        <w:trPr>
          <w:trHeight w:val="997" w:hRule="atLeast"/>
        </w:trPr>
        <w:tc>
          <w:tcPr>
            <w:tcW w:w="2016" w:type="dxa"/>
            <w:tcBorders>
              <w:top w:val="single" w:sz="4" w:space="0" w:color="C8D3BF"/>
              <w:left w:val="single" w:sz="4" w:space="0" w:color="C8D3BF"/>
              <w:bottom w:val="single" w:sz="4" w:space="0" w:color="C8D3BF"/>
              <w:right w:val="single" w:sz="4" w:space="0" w:color="C8D3BF"/>
            </w:tcBorders>
            <w:shd w:val="clear" w:color="auto" w:fill="FFFFFF"/>
          </w:tcPr>
          <w:p>
            <w:pPr>
              <w:pStyle w:val="TableParagraph"/>
              <w:spacing w:line="252" w:lineRule="auto"/>
              <w:rPr>
                <w:sz w:val="16"/>
              </w:rPr>
            </w:pPr>
            <w:r>
              <w:rPr>
                <w:color w:val="4D565B"/>
                <w:spacing w:val="-2"/>
                <w:w w:val="105"/>
                <w:sz w:val="16"/>
              </w:rPr>
              <w:t>Commercial</w:t>
            </w:r>
            <w:r>
              <w:rPr>
                <w:color w:val="4D565B"/>
                <w:spacing w:val="-10"/>
                <w:w w:val="105"/>
                <w:sz w:val="16"/>
              </w:rPr>
              <w:t> </w:t>
            </w:r>
            <w:r>
              <w:rPr>
                <w:color w:val="4D565B"/>
                <w:spacing w:val="-2"/>
                <w:w w:val="105"/>
                <w:sz w:val="16"/>
              </w:rPr>
              <w:t>medical benefit</w:t>
            </w:r>
          </w:p>
        </w:tc>
        <w:tc>
          <w:tcPr>
            <w:tcW w:w="4464" w:type="dxa"/>
            <w:tcBorders>
              <w:top w:val="single" w:sz="4" w:space="0" w:color="C8D3BF"/>
              <w:left w:val="single" w:sz="4" w:space="0" w:color="C8D3BF"/>
              <w:bottom w:val="single" w:sz="4" w:space="0" w:color="C8D3BF"/>
              <w:right w:val="single" w:sz="4" w:space="0" w:color="C8D3BF"/>
            </w:tcBorders>
            <w:shd w:val="clear" w:color="auto" w:fill="FFFFFF"/>
          </w:tcPr>
          <w:p>
            <w:pPr>
              <w:pStyle w:val="TableParagraph"/>
              <w:spacing w:line="252" w:lineRule="auto"/>
              <w:ind w:right="482"/>
              <w:rPr>
                <w:sz w:val="16"/>
              </w:rPr>
            </w:pPr>
            <w:r>
              <w:rPr>
                <w:color w:val="4D565B"/>
                <w:w w:val="105"/>
                <w:sz w:val="16"/>
              </w:rPr>
              <w:t>Prior authorization status, specialist requirement, site-of-care</w:t>
            </w:r>
            <w:r>
              <w:rPr>
                <w:color w:val="4D565B"/>
                <w:spacing w:val="-12"/>
                <w:w w:val="105"/>
                <w:sz w:val="16"/>
              </w:rPr>
              <w:t> </w:t>
            </w:r>
            <w:r>
              <w:rPr>
                <w:color w:val="4D565B"/>
                <w:w w:val="105"/>
                <w:sz w:val="16"/>
              </w:rPr>
              <w:t>rule,</w:t>
            </w:r>
            <w:r>
              <w:rPr>
                <w:color w:val="4D565B"/>
                <w:spacing w:val="-12"/>
                <w:w w:val="105"/>
                <w:sz w:val="16"/>
              </w:rPr>
              <w:t> </w:t>
            </w:r>
            <w:r>
              <w:rPr>
                <w:color w:val="4D565B"/>
                <w:w w:val="105"/>
                <w:sz w:val="16"/>
              </w:rPr>
              <w:t>white-bagging</w:t>
            </w:r>
            <w:r>
              <w:rPr>
                <w:color w:val="4D565B"/>
                <w:spacing w:val="-11"/>
                <w:w w:val="105"/>
                <w:sz w:val="16"/>
              </w:rPr>
              <w:t> </w:t>
            </w:r>
            <w:r>
              <w:rPr>
                <w:color w:val="4D565B"/>
                <w:w w:val="105"/>
                <w:sz w:val="16"/>
              </w:rPr>
              <w:t>risk,</w:t>
            </w:r>
            <w:r>
              <w:rPr>
                <w:color w:val="4D565B"/>
                <w:spacing w:val="-12"/>
                <w:w w:val="105"/>
                <w:sz w:val="16"/>
              </w:rPr>
              <w:t> </w:t>
            </w:r>
            <w:r>
              <w:rPr>
                <w:color w:val="4D565B"/>
                <w:w w:val="105"/>
                <w:sz w:val="16"/>
              </w:rPr>
              <w:t>and</w:t>
            </w:r>
            <w:r>
              <w:rPr>
                <w:color w:val="4D565B"/>
                <w:spacing w:val="-12"/>
                <w:w w:val="105"/>
                <w:sz w:val="16"/>
              </w:rPr>
              <w:t> </w:t>
            </w:r>
            <w:r>
              <w:rPr>
                <w:color w:val="4D565B"/>
                <w:w w:val="105"/>
                <w:sz w:val="16"/>
              </w:rPr>
              <w:t>commercial net-price view at 15%, 20%, and 30% discount </w:t>
            </w:r>
            <w:r>
              <w:rPr>
                <w:color w:val="4D565B"/>
                <w:spacing w:val="-2"/>
                <w:w w:val="105"/>
                <w:sz w:val="16"/>
              </w:rPr>
              <w:t>assumptions[3][4][5][6][7]</w:t>
            </w:r>
          </w:p>
        </w:tc>
        <w:tc>
          <w:tcPr>
            <w:tcW w:w="3024" w:type="dxa"/>
            <w:tcBorders>
              <w:top w:val="single" w:sz="4" w:space="0" w:color="C8D3BF"/>
              <w:left w:val="single" w:sz="4" w:space="0" w:color="C8D3BF"/>
              <w:bottom w:val="single" w:sz="4" w:space="0" w:color="C8D3BF"/>
              <w:right w:val="single" w:sz="4" w:space="0" w:color="C8D3BF"/>
            </w:tcBorders>
            <w:shd w:val="clear" w:color="auto" w:fill="FFFFFF"/>
          </w:tcPr>
          <w:p>
            <w:pPr>
              <w:pStyle w:val="TableParagraph"/>
              <w:spacing w:line="252" w:lineRule="auto"/>
              <w:ind w:right="86"/>
              <w:rPr>
                <w:sz w:val="16"/>
              </w:rPr>
            </w:pPr>
            <w:r>
              <w:rPr>
                <w:color w:val="4D565B"/>
                <w:w w:val="105"/>
                <w:sz w:val="16"/>
              </w:rPr>
              <w:t>Shows</w:t>
            </w:r>
            <w:r>
              <w:rPr>
                <w:color w:val="4D565B"/>
                <w:spacing w:val="-11"/>
                <w:w w:val="105"/>
                <w:sz w:val="16"/>
              </w:rPr>
              <w:t> </w:t>
            </w:r>
            <w:r>
              <w:rPr>
                <w:color w:val="4D565B"/>
                <w:w w:val="105"/>
                <w:sz w:val="16"/>
              </w:rPr>
              <w:t>whether</w:t>
            </w:r>
            <w:r>
              <w:rPr>
                <w:color w:val="4D565B"/>
                <w:spacing w:val="-11"/>
                <w:w w:val="105"/>
                <w:sz w:val="16"/>
              </w:rPr>
              <w:t> </w:t>
            </w:r>
            <w:r>
              <w:rPr>
                <w:color w:val="4D565B"/>
                <w:w w:val="105"/>
                <w:sz w:val="16"/>
              </w:rPr>
              <w:t>the</w:t>
            </w:r>
            <w:r>
              <w:rPr>
                <w:color w:val="4D565B"/>
                <w:spacing w:val="-11"/>
                <w:w w:val="105"/>
                <w:sz w:val="16"/>
              </w:rPr>
              <w:t> </w:t>
            </w:r>
            <w:r>
              <w:rPr>
                <w:color w:val="4D565B"/>
                <w:w w:val="105"/>
                <w:sz w:val="16"/>
              </w:rPr>
              <w:t>provider</w:t>
            </w:r>
            <w:r>
              <w:rPr>
                <w:color w:val="4D565B"/>
                <w:spacing w:val="-11"/>
                <w:w w:val="105"/>
                <w:sz w:val="16"/>
              </w:rPr>
              <w:t> </w:t>
            </w:r>
            <w:r>
              <w:rPr>
                <w:color w:val="4D565B"/>
                <w:w w:val="105"/>
                <w:sz w:val="16"/>
              </w:rPr>
              <w:t>can</w:t>
            </w:r>
            <w:r>
              <w:rPr>
                <w:color w:val="4D565B"/>
                <w:spacing w:val="-11"/>
                <w:w w:val="105"/>
                <w:sz w:val="16"/>
              </w:rPr>
              <w:t> </w:t>
            </w:r>
            <w:r>
              <w:rPr>
                <w:color w:val="4D565B"/>
                <w:w w:val="105"/>
                <w:sz w:val="16"/>
              </w:rPr>
              <w:t>buy the drug, bill the plan, and keep a positive contribution margin.</w:t>
            </w:r>
          </w:p>
        </w:tc>
      </w:tr>
    </w:tbl>
    <w:p>
      <w:pPr>
        <w:pStyle w:val="BodyText"/>
      </w:pPr>
    </w:p>
    <w:p>
      <w:pPr>
        <w:pStyle w:val="BodyText"/>
      </w:pPr>
    </w:p>
    <w:p>
      <w:pPr>
        <w:pStyle w:val="BodyText"/>
      </w:pPr>
    </w:p>
    <w:p>
      <w:pPr>
        <w:pStyle w:val="BodyText"/>
      </w:pPr>
    </w:p>
    <w:p>
      <w:pPr>
        <w:pStyle w:val="BodyText"/>
      </w:pPr>
    </w:p>
    <w:p>
      <w:pPr>
        <w:pStyle w:val="BodyText"/>
        <w:spacing w:before="101"/>
      </w:pPr>
    </w:p>
    <w:p>
      <w:pPr>
        <w:spacing w:before="0"/>
        <w:ind w:left="0" w:right="113" w:firstLine="0"/>
        <w:jc w:val="right"/>
        <w:rPr>
          <w:sz w:val="16"/>
        </w:rPr>
      </w:pPr>
      <w:r>
        <w:rPr>
          <w:color w:val="6E7579"/>
          <w:sz w:val="16"/>
        </w:rPr>
        <w:t>Page </w:t>
      </w:r>
      <w:r>
        <w:rPr>
          <w:color w:val="6E7579"/>
          <w:spacing w:val="-10"/>
          <w:sz w:val="16"/>
        </w:rPr>
        <w:t>1</w:t>
      </w:r>
    </w:p>
    <w:p>
      <w:pPr>
        <w:spacing w:after="0"/>
        <w:jc w:val="right"/>
        <w:rPr>
          <w:sz w:val="16"/>
        </w:rPr>
        <w:sectPr>
          <w:type w:val="continuous"/>
          <w:pgSz w:w="12240" w:h="15840"/>
          <w:pgMar w:top="1820" w:bottom="280" w:left="720" w:right="720"/>
        </w:sectPr>
      </w:pPr>
    </w:p>
    <w:p>
      <w:pPr>
        <w:pStyle w:val="BodyText"/>
        <w:spacing w:before="11"/>
        <w:rPr>
          <w:sz w:val="4"/>
        </w:rPr>
      </w:pPr>
      <w:r>
        <w:rPr>
          <w:sz w:val="4"/>
        </w:rPr>
        <mc:AlternateContent>
          <mc:Choice Requires="wps">
            <w:drawing>
              <wp:anchor distT="0" distB="0" distL="0" distR="0" allowOverlap="1" layoutInCell="1" locked="0" behindDoc="1" simplePos="0" relativeHeight="487279616">
                <wp:simplePos x="0" y="0"/>
                <wp:positionH relativeFrom="page">
                  <wp:posOffset>0</wp:posOffset>
                </wp:positionH>
                <wp:positionV relativeFrom="page">
                  <wp:posOffset>0</wp:posOffset>
                </wp:positionV>
                <wp:extent cx="7772400" cy="1005840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7772400" cy="10058400"/>
                          <a:chExt cx="7772400" cy="10058400"/>
                        </a:xfrm>
                      </wpg:grpSpPr>
                      <pic:pic>
                        <pic:nvPicPr>
                          <pic:cNvPr id="35" name="Image 35"/>
                          <pic:cNvPicPr/>
                        </pic:nvPicPr>
                        <pic:blipFill>
                          <a:blip r:embed="rId5" cstate="print"/>
                          <a:stretch>
                            <a:fillRect/>
                          </a:stretch>
                        </pic:blipFill>
                        <pic:spPr>
                          <a:xfrm>
                            <a:off x="0" y="0"/>
                            <a:ext cx="7772400" cy="10058400"/>
                          </a:xfrm>
                          <a:prstGeom prst="rect">
                            <a:avLst/>
                          </a:prstGeom>
                        </pic:spPr>
                      </pic:pic>
                      <pic:pic>
                        <pic:nvPicPr>
                          <pic:cNvPr id="36" name="Image 36"/>
                          <pic:cNvPicPr/>
                        </pic:nvPicPr>
                        <pic:blipFill>
                          <a:blip r:embed="rId6" cstate="print"/>
                          <a:stretch>
                            <a:fillRect/>
                          </a:stretch>
                        </pic:blipFill>
                        <pic:spPr>
                          <a:xfrm>
                            <a:off x="393191" y="9595713"/>
                            <a:ext cx="960119" cy="87782"/>
                          </a:xfrm>
                          <a:prstGeom prst="rect">
                            <a:avLst/>
                          </a:prstGeom>
                        </pic:spPr>
                      </pic:pic>
                    </wpg:wgp>
                  </a:graphicData>
                </a:graphic>
              </wp:anchor>
            </w:drawing>
          </mc:Choice>
          <mc:Fallback>
            <w:pict>
              <v:group style="position:absolute;margin-left:0pt;margin-top:0pt;width:612pt;height:792pt;mso-position-horizontal-relative:page;mso-position-vertical-relative:page;z-index:-16036864" id="docshapegroup34" coordorigin="0,0" coordsize="12240,15840">
                <v:shape style="position:absolute;left:0;top:0;width:12240;height:15840" type="#_x0000_t75" id="docshape35" stroked="false">
                  <v:imagedata r:id="rId5" o:title=""/>
                </v:shape>
                <v:shape style="position:absolute;left:619;top:15111;width:1512;height:139" type="#_x0000_t75" id="docshape36" stroked="false">
                  <v:imagedata r:id="rId6" o:title=""/>
                </v:shape>
                <w10:wrap type="none"/>
              </v:group>
            </w:pict>
          </mc:Fallback>
        </mc:AlternateContent>
      </w:r>
    </w:p>
    <w:tbl>
      <w:tblPr>
        <w:tblW w:w="0" w:type="auto"/>
        <w:jc w:val="left"/>
        <w:tblInd w:w="653" w:type="dxa"/>
        <w:tblBorders>
          <w:top w:val="single" w:sz="12" w:space="0" w:color="5B8C2B"/>
          <w:left w:val="single" w:sz="12" w:space="0" w:color="5B8C2B"/>
          <w:bottom w:val="single" w:sz="12" w:space="0" w:color="5B8C2B"/>
          <w:right w:val="single" w:sz="12" w:space="0" w:color="5B8C2B"/>
          <w:insideH w:val="single" w:sz="12" w:space="0" w:color="5B8C2B"/>
          <w:insideV w:val="single" w:sz="12" w:space="0" w:color="5B8C2B"/>
        </w:tblBorders>
        <w:tblLayout w:type="fixed"/>
        <w:tblCellMar>
          <w:top w:w="0" w:type="dxa"/>
          <w:left w:w="0" w:type="dxa"/>
          <w:bottom w:w="0" w:type="dxa"/>
          <w:right w:w="0" w:type="dxa"/>
        </w:tblCellMar>
        <w:tblLook w:val="01E0"/>
      </w:tblPr>
      <w:tblGrid>
        <w:gridCol w:w="2016"/>
        <w:gridCol w:w="4464"/>
        <w:gridCol w:w="3024"/>
      </w:tblGrid>
      <w:tr>
        <w:trPr>
          <w:trHeight w:val="383" w:hRule="atLeast"/>
        </w:trPr>
        <w:tc>
          <w:tcPr>
            <w:tcW w:w="2016" w:type="dxa"/>
            <w:tcBorders>
              <w:left w:val="single" w:sz="4" w:space="0" w:color="C8D3BF"/>
              <w:bottom w:val="single" w:sz="4" w:space="0" w:color="C8D3BF"/>
              <w:right w:val="single" w:sz="4" w:space="0" w:color="C8D3BF"/>
            </w:tcBorders>
            <w:shd w:val="clear" w:color="auto" w:fill="EDF4E6"/>
          </w:tcPr>
          <w:p>
            <w:pPr>
              <w:pStyle w:val="TableParagraph"/>
              <w:spacing w:before="88"/>
              <w:rPr>
                <w:b/>
                <w:sz w:val="17"/>
              </w:rPr>
            </w:pPr>
            <w:r>
              <w:rPr>
                <w:b/>
                <w:color w:val="42691F"/>
                <w:sz w:val="17"/>
              </w:rPr>
              <w:t>Model</w:t>
            </w:r>
            <w:r>
              <w:rPr>
                <w:b/>
                <w:color w:val="42691F"/>
                <w:spacing w:val="-11"/>
                <w:sz w:val="17"/>
              </w:rPr>
              <w:t> </w:t>
            </w:r>
            <w:r>
              <w:rPr>
                <w:b/>
                <w:color w:val="42691F"/>
                <w:spacing w:val="-4"/>
                <w:sz w:val="17"/>
              </w:rPr>
              <w:t>area</w:t>
            </w:r>
          </w:p>
        </w:tc>
        <w:tc>
          <w:tcPr>
            <w:tcW w:w="4464" w:type="dxa"/>
            <w:tcBorders>
              <w:left w:val="single" w:sz="4" w:space="0" w:color="C8D3BF"/>
              <w:bottom w:val="single" w:sz="4" w:space="0" w:color="C8D3BF"/>
              <w:right w:val="single" w:sz="4" w:space="0" w:color="C8D3BF"/>
            </w:tcBorders>
            <w:shd w:val="clear" w:color="auto" w:fill="EDF4E6"/>
          </w:tcPr>
          <w:p>
            <w:pPr>
              <w:pStyle w:val="TableParagraph"/>
              <w:spacing w:before="88"/>
              <w:rPr>
                <w:b/>
                <w:sz w:val="17"/>
              </w:rPr>
            </w:pPr>
            <w:r>
              <w:rPr>
                <w:b/>
                <w:color w:val="42691F"/>
                <w:sz w:val="17"/>
              </w:rPr>
              <w:t>What</w:t>
            </w:r>
            <w:r>
              <w:rPr>
                <w:b/>
                <w:color w:val="42691F"/>
                <w:spacing w:val="-10"/>
                <w:sz w:val="17"/>
              </w:rPr>
              <w:t> </w:t>
            </w:r>
            <w:r>
              <w:rPr>
                <w:b/>
                <w:color w:val="42691F"/>
                <w:sz w:val="17"/>
              </w:rPr>
              <w:t>the</w:t>
            </w:r>
            <w:r>
              <w:rPr>
                <w:b/>
                <w:color w:val="42691F"/>
                <w:spacing w:val="-10"/>
                <w:sz w:val="17"/>
              </w:rPr>
              <w:t> </w:t>
            </w:r>
            <w:r>
              <w:rPr>
                <w:b/>
                <w:color w:val="42691F"/>
                <w:sz w:val="17"/>
              </w:rPr>
              <w:t>calculator</w:t>
            </w:r>
            <w:r>
              <w:rPr>
                <w:b/>
                <w:color w:val="42691F"/>
                <w:spacing w:val="-10"/>
                <w:sz w:val="17"/>
              </w:rPr>
              <w:t> </w:t>
            </w:r>
            <w:r>
              <w:rPr>
                <w:b/>
                <w:color w:val="42691F"/>
                <w:sz w:val="17"/>
              </w:rPr>
              <w:t>will</w:t>
            </w:r>
            <w:r>
              <w:rPr>
                <w:b/>
                <w:color w:val="42691F"/>
                <w:spacing w:val="-9"/>
                <w:sz w:val="17"/>
              </w:rPr>
              <w:t> </w:t>
            </w:r>
            <w:r>
              <w:rPr>
                <w:b/>
                <w:color w:val="42691F"/>
                <w:spacing w:val="-2"/>
                <w:sz w:val="17"/>
              </w:rPr>
              <w:t>capture</w:t>
            </w:r>
          </w:p>
        </w:tc>
        <w:tc>
          <w:tcPr>
            <w:tcW w:w="3024" w:type="dxa"/>
            <w:tcBorders>
              <w:left w:val="single" w:sz="4" w:space="0" w:color="C8D3BF"/>
              <w:bottom w:val="single" w:sz="4" w:space="0" w:color="C8D3BF"/>
              <w:right w:val="single" w:sz="4" w:space="0" w:color="C8D3BF"/>
            </w:tcBorders>
            <w:shd w:val="clear" w:color="auto" w:fill="EDF4E6"/>
          </w:tcPr>
          <w:p>
            <w:pPr>
              <w:pStyle w:val="TableParagraph"/>
              <w:spacing w:before="88"/>
              <w:rPr>
                <w:b/>
                <w:sz w:val="17"/>
              </w:rPr>
            </w:pPr>
            <w:r>
              <w:rPr>
                <w:b/>
                <w:color w:val="42691F"/>
                <w:sz w:val="17"/>
              </w:rPr>
              <w:t>Why</w:t>
            </w:r>
            <w:r>
              <w:rPr>
                <w:b/>
                <w:color w:val="42691F"/>
                <w:spacing w:val="-9"/>
                <w:sz w:val="17"/>
              </w:rPr>
              <w:t> </w:t>
            </w:r>
            <w:r>
              <w:rPr>
                <w:b/>
                <w:color w:val="42691F"/>
                <w:sz w:val="17"/>
              </w:rPr>
              <w:t>the</w:t>
            </w:r>
            <w:r>
              <w:rPr>
                <w:b/>
                <w:color w:val="42691F"/>
                <w:spacing w:val="-9"/>
                <w:sz w:val="17"/>
              </w:rPr>
              <w:t> </w:t>
            </w:r>
            <w:r>
              <w:rPr>
                <w:b/>
                <w:color w:val="42691F"/>
                <w:sz w:val="17"/>
              </w:rPr>
              <w:t>output</w:t>
            </w:r>
            <w:r>
              <w:rPr>
                <w:b/>
                <w:color w:val="42691F"/>
                <w:spacing w:val="-8"/>
                <w:sz w:val="17"/>
              </w:rPr>
              <w:t> </w:t>
            </w:r>
            <w:r>
              <w:rPr>
                <w:b/>
                <w:color w:val="42691F"/>
                <w:spacing w:val="-2"/>
                <w:sz w:val="17"/>
              </w:rPr>
              <w:t>matters</w:t>
            </w:r>
          </w:p>
        </w:tc>
      </w:tr>
      <w:tr>
        <w:trPr>
          <w:trHeight w:val="998" w:hRule="atLeast"/>
        </w:trPr>
        <w:tc>
          <w:tcPr>
            <w:tcW w:w="2016" w:type="dxa"/>
            <w:tcBorders>
              <w:top w:val="single" w:sz="4" w:space="0" w:color="C8D3BF"/>
              <w:left w:val="single" w:sz="4" w:space="0" w:color="C8D3BF"/>
              <w:bottom w:val="single" w:sz="4" w:space="0" w:color="C8D3BF"/>
              <w:right w:val="single" w:sz="4" w:space="0" w:color="C8D3BF"/>
            </w:tcBorders>
            <w:shd w:val="clear" w:color="auto" w:fill="FFFFFF"/>
          </w:tcPr>
          <w:p>
            <w:pPr>
              <w:pStyle w:val="TableParagraph"/>
              <w:rPr>
                <w:sz w:val="16"/>
              </w:rPr>
            </w:pPr>
            <w:r>
              <w:rPr>
                <w:color w:val="4D565B"/>
                <w:spacing w:val="-2"/>
                <w:w w:val="105"/>
                <w:sz w:val="16"/>
              </w:rPr>
              <w:t>Medicaid</w:t>
            </w:r>
          </w:p>
        </w:tc>
        <w:tc>
          <w:tcPr>
            <w:tcW w:w="4464" w:type="dxa"/>
            <w:tcBorders>
              <w:top w:val="single" w:sz="4" w:space="0" w:color="C8D3BF"/>
              <w:left w:val="single" w:sz="4" w:space="0" w:color="C8D3BF"/>
              <w:bottom w:val="single" w:sz="4" w:space="0" w:color="C8D3BF"/>
              <w:right w:val="single" w:sz="4" w:space="0" w:color="C8D3BF"/>
            </w:tcBorders>
            <w:shd w:val="clear" w:color="auto" w:fill="FFFFFF"/>
          </w:tcPr>
          <w:p>
            <w:pPr>
              <w:pStyle w:val="TableParagraph"/>
              <w:spacing w:line="252" w:lineRule="auto"/>
              <w:rPr>
                <w:sz w:val="16"/>
              </w:rPr>
            </w:pPr>
            <w:r>
              <w:rPr>
                <w:color w:val="4D565B"/>
                <w:w w:val="105"/>
                <w:sz w:val="16"/>
              </w:rPr>
              <w:t>EPSDT</w:t>
            </w:r>
            <w:r>
              <w:rPr>
                <w:color w:val="4D565B"/>
                <w:spacing w:val="-12"/>
                <w:w w:val="105"/>
                <w:sz w:val="16"/>
              </w:rPr>
              <w:t> </w:t>
            </w:r>
            <w:r>
              <w:rPr>
                <w:color w:val="4D565B"/>
                <w:w w:val="105"/>
                <w:sz w:val="16"/>
              </w:rPr>
              <w:t>coverage</w:t>
            </w:r>
            <w:r>
              <w:rPr>
                <w:color w:val="4D565B"/>
                <w:spacing w:val="-12"/>
                <w:w w:val="105"/>
                <w:sz w:val="16"/>
              </w:rPr>
              <w:t> </w:t>
            </w:r>
            <w:r>
              <w:rPr>
                <w:color w:val="4D565B"/>
                <w:w w:val="105"/>
                <w:sz w:val="16"/>
              </w:rPr>
              <w:t>logic,</w:t>
            </w:r>
            <w:r>
              <w:rPr>
                <w:color w:val="4D565B"/>
                <w:spacing w:val="-11"/>
                <w:w w:val="105"/>
                <w:sz w:val="16"/>
              </w:rPr>
              <w:t> </w:t>
            </w:r>
            <w:r>
              <w:rPr>
                <w:color w:val="4D565B"/>
                <w:w w:val="105"/>
                <w:sz w:val="16"/>
              </w:rPr>
              <w:t>state-set</w:t>
            </w:r>
            <w:r>
              <w:rPr>
                <w:color w:val="4D565B"/>
                <w:spacing w:val="-12"/>
                <w:w w:val="105"/>
                <w:sz w:val="16"/>
              </w:rPr>
              <w:t> </w:t>
            </w:r>
            <w:r>
              <w:rPr>
                <w:color w:val="4D565B"/>
                <w:w w:val="105"/>
                <w:sz w:val="16"/>
              </w:rPr>
              <w:t>physician-</w:t>
            </w:r>
            <w:r>
              <w:rPr>
                <w:color w:val="4D565B"/>
                <w:w w:val="105"/>
                <w:sz w:val="16"/>
              </w:rPr>
              <w:t>administered drug payment methodology, NDC capture, PAD data requirements, and Medicaid FFS versus managed care channel split[8][10][11]</w:t>
            </w:r>
          </w:p>
        </w:tc>
        <w:tc>
          <w:tcPr>
            <w:tcW w:w="3024" w:type="dxa"/>
            <w:tcBorders>
              <w:top w:val="single" w:sz="4" w:space="0" w:color="C8D3BF"/>
              <w:left w:val="single" w:sz="4" w:space="0" w:color="C8D3BF"/>
              <w:bottom w:val="single" w:sz="4" w:space="0" w:color="C8D3BF"/>
              <w:right w:val="single" w:sz="4" w:space="0" w:color="C8D3BF"/>
            </w:tcBorders>
            <w:shd w:val="clear" w:color="auto" w:fill="FFFFFF"/>
          </w:tcPr>
          <w:p>
            <w:pPr>
              <w:pStyle w:val="TableParagraph"/>
              <w:spacing w:line="252" w:lineRule="auto"/>
              <w:rPr>
                <w:sz w:val="16"/>
              </w:rPr>
            </w:pPr>
            <w:r>
              <w:rPr>
                <w:color w:val="4D565B"/>
                <w:w w:val="105"/>
                <w:sz w:val="16"/>
              </w:rPr>
              <w:t>Shows</w:t>
            </w:r>
            <w:r>
              <w:rPr>
                <w:color w:val="4D565B"/>
                <w:spacing w:val="-11"/>
                <w:w w:val="105"/>
                <w:sz w:val="16"/>
              </w:rPr>
              <w:t> </w:t>
            </w:r>
            <w:r>
              <w:rPr>
                <w:color w:val="4D565B"/>
                <w:w w:val="105"/>
                <w:sz w:val="16"/>
              </w:rPr>
              <w:t>where</w:t>
            </w:r>
            <w:r>
              <w:rPr>
                <w:color w:val="4D565B"/>
                <w:spacing w:val="-11"/>
                <w:w w:val="105"/>
                <w:sz w:val="16"/>
              </w:rPr>
              <w:t> </w:t>
            </w:r>
            <w:r>
              <w:rPr>
                <w:color w:val="4D565B"/>
                <w:w w:val="105"/>
                <w:sz w:val="16"/>
              </w:rPr>
              <w:t>coverage</w:t>
            </w:r>
            <w:r>
              <w:rPr>
                <w:color w:val="4D565B"/>
                <w:spacing w:val="-11"/>
                <w:w w:val="105"/>
                <w:sz w:val="16"/>
              </w:rPr>
              <w:t> </w:t>
            </w:r>
            <w:r>
              <w:rPr>
                <w:color w:val="4D565B"/>
                <w:w w:val="105"/>
                <w:sz w:val="16"/>
              </w:rPr>
              <w:t>may</w:t>
            </w:r>
            <w:r>
              <w:rPr>
                <w:color w:val="4D565B"/>
                <w:spacing w:val="-11"/>
                <w:w w:val="105"/>
                <w:sz w:val="16"/>
              </w:rPr>
              <w:t> </w:t>
            </w:r>
            <w:r>
              <w:rPr>
                <w:color w:val="4D565B"/>
                <w:w w:val="105"/>
                <w:sz w:val="16"/>
              </w:rPr>
              <w:t>exist</w:t>
            </w:r>
            <w:r>
              <w:rPr>
                <w:color w:val="4D565B"/>
                <w:spacing w:val="-11"/>
                <w:w w:val="105"/>
                <w:sz w:val="16"/>
              </w:rPr>
              <w:t> </w:t>
            </w:r>
            <w:r>
              <w:rPr>
                <w:color w:val="4D565B"/>
                <w:w w:val="105"/>
                <w:sz w:val="16"/>
              </w:rPr>
              <w:t>but payment still fails because the claim pathway is incomplete.</w:t>
            </w:r>
          </w:p>
        </w:tc>
      </w:tr>
      <w:tr>
        <w:trPr>
          <w:trHeight w:val="997" w:hRule="atLeast"/>
        </w:trPr>
        <w:tc>
          <w:tcPr>
            <w:tcW w:w="2016" w:type="dxa"/>
            <w:tcBorders>
              <w:top w:val="single" w:sz="4" w:space="0" w:color="C8D3BF"/>
              <w:left w:val="single" w:sz="4" w:space="0" w:color="C8D3BF"/>
              <w:bottom w:val="single" w:sz="4" w:space="0" w:color="C8D3BF"/>
              <w:right w:val="single" w:sz="4" w:space="0" w:color="C8D3BF"/>
            </w:tcBorders>
            <w:shd w:val="clear" w:color="auto" w:fill="F6F6F2"/>
          </w:tcPr>
          <w:p>
            <w:pPr>
              <w:pStyle w:val="TableParagraph"/>
              <w:rPr>
                <w:sz w:val="16"/>
              </w:rPr>
            </w:pPr>
            <w:r>
              <w:rPr>
                <w:color w:val="4D565B"/>
                <w:spacing w:val="-4"/>
                <w:w w:val="105"/>
                <w:sz w:val="16"/>
              </w:rPr>
              <w:t>340B</w:t>
            </w:r>
          </w:p>
        </w:tc>
        <w:tc>
          <w:tcPr>
            <w:tcW w:w="4464" w:type="dxa"/>
            <w:tcBorders>
              <w:top w:val="single" w:sz="4" w:space="0" w:color="C8D3BF"/>
              <w:left w:val="single" w:sz="4" w:space="0" w:color="C8D3BF"/>
              <w:bottom w:val="single" w:sz="4" w:space="0" w:color="C8D3BF"/>
              <w:right w:val="single" w:sz="4" w:space="0" w:color="C8D3BF"/>
            </w:tcBorders>
            <w:shd w:val="clear" w:color="auto" w:fill="F6F6F2"/>
          </w:tcPr>
          <w:p>
            <w:pPr>
              <w:pStyle w:val="TableParagraph"/>
              <w:spacing w:line="252" w:lineRule="auto"/>
              <w:ind w:right="175"/>
              <w:rPr>
                <w:sz w:val="16"/>
              </w:rPr>
            </w:pPr>
            <w:r>
              <w:rPr>
                <w:color w:val="4D565B"/>
                <w:w w:val="105"/>
                <w:sz w:val="16"/>
              </w:rPr>
              <w:t>Estimated</w:t>
            </w:r>
            <w:r>
              <w:rPr>
                <w:color w:val="4D565B"/>
                <w:spacing w:val="-12"/>
                <w:w w:val="105"/>
                <w:sz w:val="16"/>
              </w:rPr>
              <w:t> </w:t>
            </w:r>
            <w:r>
              <w:rPr>
                <w:color w:val="4D565B"/>
                <w:w w:val="105"/>
                <w:sz w:val="16"/>
              </w:rPr>
              <w:t>340B</w:t>
            </w:r>
            <w:r>
              <w:rPr>
                <w:color w:val="4D565B"/>
                <w:spacing w:val="-12"/>
                <w:w w:val="105"/>
                <w:sz w:val="16"/>
              </w:rPr>
              <w:t> </w:t>
            </w:r>
            <w:r>
              <w:rPr>
                <w:color w:val="4D565B"/>
                <w:w w:val="105"/>
                <w:sz w:val="16"/>
              </w:rPr>
              <w:t>ceiling-price</w:t>
            </w:r>
            <w:r>
              <w:rPr>
                <w:color w:val="4D565B"/>
                <w:spacing w:val="-11"/>
                <w:w w:val="105"/>
                <w:sz w:val="16"/>
              </w:rPr>
              <w:t> </w:t>
            </w:r>
            <w:r>
              <w:rPr>
                <w:color w:val="4D565B"/>
                <w:w w:val="105"/>
                <w:sz w:val="16"/>
              </w:rPr>
              <w:t>acquisition,</w:t>
            </w:r>
            <w:r>
              <w:rPr>
                <w:color w:val="4D565B"/>
                <w:spacing w:val="-12"/>
                <w:w w:val="105"/>
                <w:sz w:val="16"/>
              </w:rPr>
              <w:t> </w:t>
            </w:r>
            <w:r>
              <w:rPr>
                <w:color w:val="4D565B"/>
                <w:w w:val="105"/>
                <w:sz w:val="16"/>
              </w:rPr>
              <w:t>carve-in</w:t>
            </w:r>
            <w:r>
              <w:rPr>
                <w:color w:val="4D565B"/>
                <w:spacing w:val="-12"/>
                <w:w w:val="105"/>
                <w:sz w:val="16"/>
              </w:rPr>
              <w:t> </w:t>
            </w:r>
            <w:r>
              <w:rPr>
                <w:color w:val="4D565B"/>
                <w:w w:val="105"/>
                <w:sz w:val="16"/>
              </w:rPr>
              <w:t>versus carve-out treatment, and duplicate-discount control </w:t>
            </w:r>
            <w:r>
              <w:rPr>
                <w:color w:val="4D565B"/>
                <w:spacing w:val="-2"/>
                <w:w w:val="105"/>
                <w:sz w:val="16"/>
              </w:rPr>
              <w:t>points[8][9]</w:t>
            </w:r>
          </w:p>
        </w:tc>
        <w:tc>
          <w:tcPr>
            <w:tcW w:w="3024" w:type="dxa"/>
            <w:tcBorders>
              <w:top w:val="single" w:sz="4" w:space="0" w:color="C8D3BF"/>
              <w:left w:val="single" w:sz="4" w:space="0" w:color="C8D3BF"/>
              <w:bottom w:val="single" w:sz="4" w:space="0" w:color="C8D3BF"/>
              <w:right w:val="single" w:sz="4" w:space="0" w:color="C8D3BF"/>
            </w:tcBorders>
            <w:shd w:val="clear" w:color="auto" w:fill="F6F6F2"/>
          </w:tcPr>
          <w:p>
            <w:pPr>
              <w:pStyle w:val="TableParagraph"/>
              <w:spacing w:line="252" w:lineRule="auto"/>
              <w:ind w:right="86"/>
              <w:rPr>
                <w:sz w:val="16"/>
              </w:rPr>
            </w:pPr>
            <w:r>
              <w:rPr>
                <w:color w:val="4D565B"/>
                <w:w w:val="105"/>
                <w:sz w:val="16"/>
              </w:rPr>
              <w:t>Shows which centers of excellence are</w:t>
            </w:r>
            <w:r>
              <w:rPr>
                <w:color w:val="4D565B"/>
                <w:spacing w:val="-12"/>
                <w:w w:val="105"/>
                <w:sz w:val="16"/>
              </w:rPr>
              <w:t> </w:t>
            </w:r>
            <w:r>
              <w:rPr>
                <w:color w:val="4D565B"/>
                <w:w w:val="105"/>
                <w:sz w:val="16"/>
              </w:rPr>
              <w:t>structurally</w:t>
            </w:r>
            <w:r>
              <w:rPr>
                <w:color w:val="4D565B"/>
                <w:spacing w:val="-12"/>
                <w:w w:val="105"/>
                <w:sz w:val="16"/>
              </w:rPr>
              <w:t> </w:t>
            </w:r>
            <w:r>
              <w:rPr>
                <w:color w:val="4D565B"/>
                <w:w w:val="105"/>
                <w:sz w:val="16"/>
              </w:rPr>
              <w:t>advantaged</w:t>
            </w:r>
            <w:r>
              <w:rPr>
                <w:color w:val="4D565B"/>
                <w:spacing w:val="-11"/>
                <w:w w:val="105"/>
                <w:sz w:val="16"/>
              </w:rPr>
              <w:t> </w:t>
            </w:r>
            <w:r>
              <w:rPr>
                <w:color w:val="4D565B"/>
                <w:w w:val="105"/>
                <w:sz w:val="16"/>
              </w:rPr>
              <w:t>and</w:t>
            </w:r>
            <w:r>
              <w:rPr>
                <w:color w:val="4D565B"/>
                <w:spacing w:val="-12"/>
                <w:w w:val="105"/>
                <w:sz w:val="16"/>
              </w:rPr>
              <w:t> </w:t>
            </w:r>
            <w:r>
              <w:rPr>
                <w:color w:val="4D565B"/>
                <w:w w:val="105"/>
                <w:sz w:val="16"/>
              </w:rPr>
              <w:t>how much gross-to-net pressure that </w:t>
            </w:r>
            <w:r>
              <w:rPr>
                <w:color w:val="4D565B"/>
                <w:spacing w:val="-2"/>
                <w:w w:val="105"/>
                <w:sz w:val="16"/>
              </w:rPr>
              <w:t>creates.</w:t>
            </w:r>
          </w:p>
        </w:tc>
      </w:tr>
      <w:tr>
        <w:trPr>
          <w:trHeight w:val="795" w:hRule="atLeast"/>
        </w:trPr>
        <w:tc>
          <w:tcPr>
            <w:tcW w:w="2016" w:type="dxa"/>
            <w:tcBorders>
              <w:top w:val="single" w:sz="4" w:space="0" w:color="C8D3BF"/>
              <w:left w:val="single" w:sz="4" w:space="0" w:color="C8D3BF"/>
              <w:bottom w:val="single" w:sz="4" w:space="0" w:color="C8D3BF"/>
              <w:right w:val="single" w:sz="4" w:space="0" w:color="C8D3BF"/>
            </w:tcBorders>
            <w:shd w:val="clear" w:color="auto" w:fill="FFFFFF"/>
          </w:tcPr>
          <w:p>
            <w:pPr>
              <w:pStyle w:val="TableParagraph"/>
              <w:spacing w:line="252" w:lineRule="auto"/>
              <w:ind w:right="98"/>
              <w:rPr>
                <w:sz w:val="16"/>
              </w:rPr>
            </w:pPr>
            <w:r>
              <w:rPr>
                <w:color w:val="4D565B"/>
                <w:spacing w:val="-2"/>
                <w:w w:val="105"/>
                <w:sz w:val="16"/>
              </w:rPr>
              <w:t>Hospital</w:t>
            </w:r>
            <w:r>
              <w:rPr>
                <w:color w:val="4D565B"/>
                <w:spacing w:val="-10"/>
                <w:w w:val="105"/>
                <w:sz w:val="16"/>
              </w:rPr>
              <w:t> </w:t>
            </w:r>
            <w:r>
              <w:rPr>
                <w:color w:val="4D565B"/>
                <w:spacing w:val="-2"/>
                <w:w w:val="105"/>
                <w:sz w:val="16"/>
              </w:rPr>
              <w:t>outpatient coding</w:t>
            </w:r>
          </w:p>
        </w:tc>
        <w:tc>
          <w:tcPr>
            <w:tcW w:w="4464" w:type="dxa"/>
            <w:tcBorders>
              <w:top w:val="single" w:sz="4" w:space="0" w:color="C8D3BF"/>
              <w:left w:val="single" w:sz="4" w:space="0" w:color="C8D3BF"/>
              <w:bottom w:val="single" w:sz="4" w:space="0" w:color="C8D3BF"/>
              <w:right w:val="single" w:sz="4" w:space="0" w:color="C8D3BF"/>
            </w:tcBorders>
            <w:shd w:val="clear" w:color="auto" w:fill="FFFFFF"/>
          </w:tcPr>
          <w:p>
            <w:pPr>
              <w:pStyle w:val="TableParagraph"/>
              <w:spacing w:line="252" w:lineRule="auto"/>
              <w:rPr>
                <w:sz w:val="16"/>
              </w:rPr>
            </w:pPr>
            <w:r>
              <w:rPr>
                <w:color w:val="4D565B"/>
                <w:w w:val="105"/>
                <w:sz w:val="16"/>
              </w:rPr>
              <w:t>Miscellaneous-code bridge, HCPCS application timing, OPPS</w:t>
            </w:r>
            <w:r>
              <w:rPr>
                <w:color w:val="4D565B"/>
                <w:spacing w:val="-12"/>
                <w:w w:val="105"/>
                <w:sz w:val="16"/>
              </w:rPr>
              <w:t> </w:t>
            </w:r>
            <w:r>
              <w:rPr>
                <w:color w:val="4D565B"/>
                <w:w w:val="105"/>
                <w:sz w:val="16"/>
              </w:rPr>
              <w:t>pass-through</w:t>
            </w:r>
            <w:r>
              <w:rPr>
                <w:color w:val="4D565B"/>
                <w:spacing w:val="-12"/>
                <w:w w:val="105"/>
                <w:sz w:val="16"/>
              </w:rPr>
              <w:t> </w:t>
            </w:r>
            <w:r>
              <w:rPr>
                <w:color w:val="4D565B"/>
                <w:w w:val="105"/>
                <w:sz w:val="16"/>
              </w:rPr>
              <w:t>timing,</w:t>
            </w:r>
            <w:r>
              <w:rPr>
                <w:color w:val="4D565B"/>
                <w:spacing w:val="-11"/>
                <w:w w:val="105"/>
                <w:sz w:val="16"/>
              </w:rPr>
              <w:t> </w:t>
            </w:r>
            <w:r>
              <w:rPr>
                <w:color w:val="4D565B"/>
                <w:w w:val="105"/>
                <w:sz w:val="16"/>
              </w:rPr>
              <w:t>and</w:t>
            </w:r>
            <w:r>
              <w:rPr>
                <w:color w:val="4D565B"/>
                <w:spacing w:val="-12"/>
                <w:w w:val="105"/>
                <w:sz w:val="16"/>
              </w:rPr>
              <w:t> </w:t>
            </w:r>
            <w:r>
              <w:rPr>
                <w:color w:val="4D565B"/>
                <w:w w:val="105"/>
                <w:sz w:val="16"/>
              </w:rPr>
              <w:t>hospital</w:t>
            </w:r>
            <w:r>
              <w:rPr>
                <w:color w:val="4D565B"/>
                <w:spacing w:val="-12"/>
                <w:w w:val="105"/>
                <w:sz w:val="16"/>
              </w:rPr>
              <w:t> </w:t>
            </w:r>
            <w:r>
              <w:rPr>
                <w:color w:val="4D565B"/>
                <w:w w:val="105"/>
                <w:sz w:val="16"/>
              </w:rPr>
              <w:t>acquisition-</w:t>
            </w:r>
            <w:r>
              <w:rPr>
                <w:color w:val="4D565B"/>
                <w:w w:val="105"/>
                <w:sz w:val="16"/>
              </w:rPr>
              <w:t>cost evidence requirements[12][13][14]</w:t>
            </w:r>
          </w:p>
        </w:tc>
        <w:tc>
          <w:tcPr>
            <w:tcW w:w="3024" w:type="dxa"/>
            <w:tcBorders>
              <w:top w:val="single" w:sz="4" w:space="0" w:color="C8D3BF"/>
              <w:left w:val="single" w:sz="4" w:space="0" w:color="C8D3BF"/>
              <w:bottom w:val="single" w:sz="4" w:space="0" w:color="C8D3BF"/>
              <w:right w:val="single" w:sz="4" w:space="0" w:color="C8D3BF"/>
            </w:tcBorders>
            <w:shd w:val="clear" w:color="auto" w:fill="FFFFFF"/>
          </w:tcPr>
          <w:p>
            <w:pPr>
              <w:pStyle w:val="TableParagraph"/>
              <w:spacing w:line="252" w:lineRule="auto"/>
              <w:rPr>
                <w:sz w:val="16"/>
              </w:rPr>
            </w:pPr>
            <w:r>
              <w:rPr>
                <w:color w:val="4D565B"/>
                <w:w w:val="105"/>
                <w:sz w:val="16"/>
              </w:rPr>
              <w:t>Shows</w:t>
            </w:r>
            <w:r>
              <w:rPr>
                <w:color w:val="4D565B"/>
                <w:spacing w:val="-12"/>
                <w:w w:val="105"/>
                <w:sz w:val="16"/>
              </w:rPr>
              <w:t> </w:t>
            </w:r>
            <w:r>
              <w:rPr>
                <w:color w:val="4D565B"/>
                <w:w w:val="105"/>
                <w:sz w:val="16"/>
              </w:rPr>
              <w:t>when</w:t>
            </w:r>
            <w:r>
              <w:rPr>
                <w:color w:val="4D565B"/>
                <w:spacing w:val="-12"/>
                <w:w w:val="105"/>
                <w:sz w:val="16"/>
              </w:rPr>
              <w:t> </w:t>
            </w:r>
            <w:r>
              <w:rPr>
                <w:color w:val="4D565B"/>
                <w:w w:val="105"/>
                <w:sz w:val="16"/>
              </w:rPr>
              <w:t>hospital</w:t>
            </w:r>
            <w:r>
              <w:rPr>
                <w:color w:val="4D565B"/>
                <w:spacing w:val="-11"/>
                <w:w w:val="105"/>
                <w:sz w:val="16"/>
              </w:rPr>
              <w:t> </w:t>
            </w:r>
            <w:r>
              <w:rPr>
                <w:color w:val="4D565B"/>
                <w:w w:val="105"/>
                <w:sz w:val="16"/>
              </w:rPr>
              <w:t>outpatient</w:t>
            </w:r>
            <w:r>
              <w:rPr>
                <w:color w:val="4D565B"/>
                <w:spacing w:val="-12"/>
                <w:w w:val="105"/>
                <w:sz w:val="16"/>
              </w:rPr>
              <w:t> </w:t>
            </w:r>
            <w:r>
              <w:rPr>
                <w:color w:val="4D565B"/>
                <w:w w:val="105"/>
                <w:sz w:val="16"/>
              </w:rPr>
              <w:t>billing becomes predictable enough for broader site activation.</w:t>
            </w:r>
          </w:p>
        </w:tc>
      </w:tr>
      <w:tr>
        <w:trPr>
          <w:trHeight w:val="796" w:hRule="atLeast"/>
        </w:trPr>
        <w:tc>
          <w:tcPr>
            <w:tcW w:w="2016" w:type="dxa"/>
            <w:tcBorders>
              <w:top w:val="single" w:sz="4" w:space="0" w:color="C8D3BF"/>
              <w:left w:val="single" w:sz="4" w:space="0" w:color="C8D3BF"/>
              <w:bottom w:val="single" w:sz="4" w:space="0" w:color="C8D3BF"/>
              <w:right w:val="single" w:sz="4" w:space="0" w:color="C8D3BF"/>
            </w:tcBorders>
            <w:shd w:val="clear" w:color="auto" w:fill="F6F6F2"/>
          </w:tcPr>
          <w:p>
            <w:pPr>
              <w:pStyle w:val="TableParagraph"/>
              <w:rPr>
                <w:sz w:val="16"/>
              </w:rPr>
            </w:pPr>
            <w:r>
              <w:rPr>
                <w:color w:val="4D565B"/>
                <w:w w:val="105"/>
                <w:sz w:val="16"/>
              </w:rPr>
              <w:t>Manufacturer</w:t>
            </w:r>
            <w:r>
              <w:rPr>
                <w:color w:val="4D565B"/>
                <w:spacing w:val="-11"/>
                <w:w w:val="105"/>
                <w:sz w:val="16"/>
              </w:rPr>
              <w:t> </w:t>
            </w:r>
            <w:r>
              <w:rPr>
                <w:color w:val="4D565B"/>
                <w:spacing w:val="-2"/>
                <w:w w:val="105"/>
                <w:sz w:val="16"/>
              </w:rPr>
              <w:t>support</w:t>
            </w:r>
          </w:p>
        </w:tc>
        <w:tc>
          <w:tcPr>
            <w:tcW w:w="4464" w:type="dxa"/>
            <w:tcBorders>
              <w:top w:val="single" w:sz="4" w:space="0" w:color="C8D3BF"/>
              <w:left w:val="single" w:sz="4" w:space="0" w:color="C8D3BF"/>
              <w:bottom w:val="single" w:sz="4" w:space="0" w:color="C8D3BF"/>
              <w:right w:val="single" w:sz="4" w:space="0" w:color="C8D3BF"/>
            </w:tcBorders>
            <w:shd w:val="clear" w:color="auto" w:fill="F6F6F2"/>
          </w:tcPr>
          <w:p>
            <w:pPr>
              <w:pStyle w:val="TableParagraph"/>
              <w:spacing w:line="252" w:lineRule="auto"/>
              <w:rPr>
                <w:sz w:val="16"/>
              </w:rPr>
            </w:pPr>
            <w:r>
              <w:rPr>
                <w:color w:val="4D565B"/>
                <w:w w:val="105"/>
                <w:sz w:val="16"/>
              </w:rPr>
              <w:t>Prompt-pay</w:t>
            </w:r>
            <w:r>
              <w:rPr>
                <w:color w:val="4D565B"/>
                <w:spacing w:val="-12"/>
                <w:w w:val="105"/>
                <w:sz w:val="16"/>
              </w:rPr>
              <w:t> </w:t>
            </w:r>
            <w:r>
              <w:rPr>
                <w:color w:val="4D565B"/>
                <w:w w:val="105"/>
                <w:sz w:val="16"/>
              </w:rPr>
              <w:t>discount,</w:t>
            </w:r>
            <w:r>
              <w:rPr>
                <w:color w:val="4D565B"/>
                <w:spacing w:val="-12"/>
                <w:w w:val="105"/>
                <w:sz w:val="16"/>
              </w:rPr>
              <w:t> </w:t>
            </w:r>
            <w:r>
              <w:rPr>
                <w:color w:val="4D565B"/>
                <w:w w:val="105"/>
                <w:sz w:val="16"/>
              </w:rPr>
              <w:t>acquisition</w:t>
            </w:r>
            <w:r>
              <w:rPr>
                <w:color w:val="4D565B"/>
                <w:spacing w:val="-11"/>
                <w:w w:val="105"/>
                <w:sz w:val="16"/>
              </w:rPr>
              <w:t> </w:t>
            </w:r>
            <w:r>
              <w:rPr>
                <w:color w:val="4D565B"/>
                <w:w w:val="105"/>
                <w:sz w:val="16"/>
              </w:rPr>
              <w:t>rebate,</w:t>
            </w:r>
            <w:r>
              <w:rPr>
                <w:color w:val="4D565B"/>
                <w:spacing w:val="-12"/>
                <w:w w:val="105"/>
                <w:sz w:val="16"/>
              </w:rPr>
              <w:t> </w:t>
            </w:r>
            <w:r>
              <w:rPr>
                <w:color w:val="4D565B"/>
                <w:w w:val="105"/>
                <w:sz w:val="16"/>
              </w:rPr>
              <w:t>free-drug</w:t>
            </w:r>
            <w:r>
              <w:rPr>
                <w:color w:val="4D565B"/>
                <w:spacing w:val="-12"/>
                <w:w w:val="105"/>
                <w:sz w:val="16"/>
              </w:rPr>
              <w:t> </w:t>
            </w:r>
            <w:r>
              <w:rPr>
                <w:color w:val="4D565B"/>
                <w:w w:val="105"/>
                <w:sz w:val="16"/>
              </w:rPr>
              <w:t>bridge, and patient-support assumptions[3]</w:t>
            </w:r>
          </w:p>
        </w:tc>
        <w:tc>
          <w:tcPr>
            <w:tcW w:w="3024" w:type="dxa"/>
            <w:tcBorders>
              <w:top w:val="single" w:sz="4" w:space="0" w:color="C8D3BF"/>
              <w:left w:val="single" w:sz="4" w:space="0" w:color="C8D3BF"/>
              <w:bottom w:val="single" w:sz="4" w:space="0" w:color="C8D3BF"/>
              <w:right w:val="single" w:sz="4" w:space="0" w:color="C8D3BF"/>
            </w:tcBorders>
            <w:shd w:val="clear" w:color="auto" w:fill="F6F6F2"/>
          </w:tcPr>
          <w:p>
            <w:pPr>
              <w:pStyle w:val="TableParagraph"/>
              <w:spacing w:line="252" w:lineRule="auto"/>
              <w:ind w:right="86"/>
              <w:rPr>
                <w:sz w:val="16"/>
              </w:rPr>
            </w:pPr>
            <w:r>
              <w:rPr>
                <w:color w:val="4D565B"/>
                <w:w w:val="105"/>
                <w:sz w:val="16"/>
              </w:rPr>
              <w:t>Shows which support levers fix provider</w:t>
            </w:r>
            <w:r>
              <w:rPr>
                <w:color w:val="4D565B"/>
                <w:spacing w:val="-12"/>
                <w:w w:val="105"/>
                <w:sz w:val="16"/>
              </w:rPr>
              <w:t> </w:t>
            </w:r>
            <w:r>
              <w:rPr>
                <w:color w:val="4D565B"/>
                <w:w w:val="105"/>
                <w:sz w:val="16"/>
              </w:rPr>
              <w:t>economics</w:t>
            </w:r>
            <w:r>
              <w:rPr>
                <w:color w:val="4D565B"/>
                <w:spacing w:val="-12"/>
                <w:w w:val="105"/>
                <w:sz w:val="16"/>
              </w:rPr>
              <w:t> </w:t>
            </w:r>
            <w:r>
              <w:rPr>
                <w:color w:val="4D565B"/>
                <w:w w:val="105"/>
                <w:sz w:val="16"/>
              </w:rPr>
              <w:t>and</w:t>
            </w:r>
            <w:r>
              <w:rPr>
                <w:color w:val="4D565B"/>
                <w:spacing w:val="-11"/>
                <w:w w:val="105"/>
                <w:sz w:val="16"/>
              </w:rPr>
              <w:t> </w:t>
            </w:r>
            <w:r>
              <w:rPr>
                <w:color w:val="4D565B"/>
                <w:w w:val="105"/>
                <w:sz w:val="16"/>
              </w:rPr>
              <w:t>which</w:t>
            </w:r>
            <w:r>
              <w:rPr>
                <w:color w:val="4D565B"/>
                <w:spacing w:val="-12"/>
                <w:w w:val="105"/>
                <w:sz w:val="16"/>
              </w:rPr>
              <w:t> </w:t>
            </w:r>
            <w:r>
              <w:rPr>
                <w:color w:val="4D565B"/>
                <w:w w:val="105"/>
                <w:sz w:val="16"/>
              </w:rPr>
              <w:t>only help patient affordability.</w:t>
            </w:r>
          </w:p>
        </w:tc>
      </w:tr>
    </w:tbl>
    <w:p>
      <w:pPr>
        <w:pStyle w:val="BodyText"/>
        <w:spacing w:before="113"/>
        <w:rPr>
          <w:sz w:val="25"/>
        </w:rPr>
      </w:pPr>
    </w:p>
    <w:p>
      <w:pPr>
        <w:pStyle w:val="Heading2"/>
      </w:pPr>
      <w:r>
        <w:rPr>
          <w:color w:val="5B8C2B"/>
        </w:rPr>
        <w:t>What</w:t>
      </w:r>
      <w:r>
        <w:rPr>
          <w:color w:val="5B8C2B"/>
          <w:spacing w:val="-5"/>
        </w:rPr>
        <w:t> </w:t>
      </w:r>
      <w:r>
        <w:rPr>
          <w:color w:val="5B8C2B"/>
        </w:rPr>
        <w:t>it</w:t>
      </w:r>
      <w:r>
        <w:rPr>
          <w:color w:val="5B8C2B"/>
          <w:spacing w:val="-5"/>
        </w:rPr>
        <w:t> </w:t>
      </w:r>
      <w:r>
        <w:rPr>
          <w:color w:val="5B8C2B"/>
        </w:rPr>
        <w:t>will</w:t>
      </w:r>
      <w:r>
        <w:rPr>
          <w:color w:val="5B8C2B"/>
          <w:spacing w:val="-5"/>
        </w:rPr>
        <w:t> </w:t>
      </w:r>
      <w:r>
        <w:rPr>
          <w:color w:val="5B8C2B"/>
          <w:spacing w:val="-4"/>
        </w:rPr>
        <w:t>show</w:t>
      </w:r>
    </w:p>
    <w:p>
      <w:pPr>
        <w:pStyle w:val="BodyText"/>
        <w:spacing w:line="283" w:lineRule="auto" w:before="126"/>
        <w:ind w:left="436" w:right="541"/>
      </w:pPr>
      <w:r>
        <w:rPr>
          <w:color w:val="4D565B"/>
        </w:rPr>
        <w:t>The first value of the calculator is visibility. Beren's current assumption that strong mortality data alone will reduce payer friction is not supported by how comparable therapies are managed. UnitedHealthcare's current commercial criteria for Miplyffa and Aqneursa require genetic confirmation, specialist prescribing, and documented positive clinical response for continuation, and they prohibit overlapping therapy use. Aetna applies similarly concrete administration and continuation controls in Brineura, including physician knowledge in intraventricular </w:t>
      </w:r>
      <w:r>
        <w:rPr>
          <w:color w:val="4D565B"/>
        </w:rPr>
        <w:t>administration and no loss or slowed loss of ambulation from baseline. The model will translate those rules into actual operational and financial consequences for providers. [4][5][16]</w:t>
      </w:r>
    </w:p>
    <w:p>
      <w:pPr>
        <w:pStyle w:val="BodyText"/>
        <w:spacing w:line="283" w:lineRule="auto" w:before="146"/>
        <w:ind w:left="436" w:right="521"/>
      </w:pPr>
      <w:r>
        <w:rPr>
          <w:color w:val="4D565B"/>
        </w:rPr>
        <w:t>The second value is prioritization. The model will identify where to launch first, where hospital contracting matters most, and where PBM or specialty-pharmacy contracting can either preserve or remove buy-and-bill economics. UnitedHealthcare's public sourcing FAQ states that a participating specialty pharmacy can ship drug to the physician or hospital and bill the plan directly, with the provider billing only for administration. If the provider does not use the designated specialty pharmacy when required, UnitedHealthcare states that payment for the medication is denied. That means PBM contracting is not a side issue for adrabetadex. It directly shapes whether the provider purchases inventory at all. [6]</w:t>
      </w:r>
    </w:p>
    <w:p>
      <w:pPr>
        <w:pStyle w:val="BodyText"/>
        <w:spacing w:line="283" w:lineRule="auto" w:before="145"/>
        <w:ind w:left="436" w:right="433"/>
      </w:pPr>
      <w:r>
        <w:rPr>
          <w:color w:val="4D565B"/>
        </w:rPr>
        <w:t>The third value is decision support on support strategy. The model will show the effect of discounts, rebates, and patient assistance in separate buckets rather than treating them as interchangeable. A prompt-pay discount or provider-facing acquisition rebate improves provider margin directly. A patient-assistance or free-drug bridge </w:t>
      </w:r>
      <w:r>
        <w:rPr>
          <w:color w:val="4D565B"/>
        </w:rPr>
        <w:t>program can reduce patient abandonment and protect the provider from stocking unreimbursed drug, but it does not substitute for a durable reimbursement pathway once commercial claims begin. [3]</w:t>
      </w:r>
    </w:p>
    <w:p>
      <w:pPr>
        <w:pStyle w:val="BodyText"/>
        <w:spacing w:before="4" w:after="1"/>
        <w:rPr>
          <w:sz w:val="10"/>
        </w:rPr>
      </w:pPr>
    </w:p>
    <w:tbl>
      <w:tblPr>
        <w:tblW w:w="0" w:type="auto"/>
        <w:jc w:val="left"/>
        <w:tblInd w:w="221" w:type="dxa"/>
        <w:tblBorders>
          <w:top w:val="single" w:sz="12" w:space="0" w:color="5B8C2B"/>
          <w:left w:val="single" w:sz="12" w:space="0" w:color="5B8C2B"/>
          <w:bottom w:val="single" w:sz="12" w:space="0" w:color="5B8C2B"/>
          <w:right w:val="single" w:sz="12" w:space="0" w:color="5B8C2B"/>
          <w:insideH w:val="single" w:sz="12" w:space="0" w:color="5B8C2B"/>
          <w:insideV w:val="single" w:sz="12" w:space="0" w:color="5B8C2B"/>
        </w:tblBorders>
        <w:tblLayout w:type="fixed"/>
        <w:tblCellMar>
          <w:top w:w="0" w:type="dxa"/>
          <w:left w:w="0" w:type="dxa"/>
          <w:bottom w:w="0" w:type="dxa"/>
          <w:right w:w="0" w:type="dxa"/>
        </w:tblCellMar>
        <w:tblLook w:val="01E0"/>
      </w:tblPr>
      <w:tblGrid>
        <w:gridCol w:w="2045"/>
        <w:gridCol w:w="3053"/>
        <w:gridCol w:w="2203"/>
        <w:gridCol w:w="3067"/>
      </w:tblGrid>
      <w:tr>
        <w:trPr>
          <w:trHeight w:val="383" w:hRule="atLeast"/>
        </w:trPr>
        <w:tc>
          <w:tcPr>
            <w:tcW w:w="2045" w:type="dxa"/>
            <w:tcBorders>
              <w:left w:val="single" w:sz="4" w:space="0" w:color="C8D3BF"/>
              <w:bottom w:val="single" w:sz="4" w:space="0" w:color="C8D3BF"/>
              <w:right w:val="single" w:sz="4" w:space="0" w:color="C8D3BF"/>
            </w:tcBorders>
            <w:shd w:val="clear" w:color="auto" w:fill="EDF4E6"/>
          </w:tcPr>
          <w:p>
            <w:pPr>
              <w:pStyle w:val="TableParagraph"/>
              <w:spacing w:before="88"/>
              <w:rPr>
                <w:b/>
                <w:sz w:val="17"/>
              </w:rPr>
            </w:pPr>
            <w:r>
              <w:rPr>
                <w:b/>
                <w:color w:val="42691F"/>
                <w:spacing w:val="-2"/>
                <w:sz w:val="17"/>
              </w:rPr>
              <w:t>Scenario</w:t>
            </w:r>
          </w:p>
        </w:tc>
        <w:tc>
          <w:tcPr>
            <w:tcW w:w="3053" w:type="dxa"/>
            <w:tcBorders>
              <w:left w:val="single" w:sz="4" w:space="0" w:color="C8D3BF"/>
              <w:bottom w:val="single" w:sz="4" w:space="0" w:color="C8D3BF"/>
              <w:right w:val="single" w:sz="4" w:space="0" w:color="C8D3BF"/>
            </w:tcBorders>
            <w:shd w:val="clear" w:color="auto" w:fill="EDF4E6"/>
          </w:tcPr>
          <w:p>
            <w:pPr>
              <w:pStyle w:val="TableParagraph"/>
              <w:spacing w:before="88"/>
              <w:rPr>
                <w:b/>
                <w:sz w:val="17"/>
              </w:rPr>
            </w:pPr>
            <w:r>
              <w:rPr>
                <w:b/>
                <w:color w:val="42691F"/>
                <w:spacing w:val="-2"/>
                <w:sz w:val="17"/>
              </w:rPr>
              <w:t>Acquisition</w:t>
            </w:r>
            <w:r>
              <w:rPr>
                <w:b/>
                <w:color w:val="42691F"/>
                <w:sz w:val="17"/>
              </w:rPr>
              <w:t> </w:t>
            </w:r>
            <w:r>
              <w:rPr>
                <w:b/>
                <w:color w:val="42691F"/>
                <w:spacing w:val="-2"/>
                <w:sz w:val="17"/>
              </w:rPr>
              <w:t>/</w:t>
            </w:r>
            <w:r>
              <w:rPr>
                <w:b/>
                <w:color w:val="42691F"/>
                <w:spacing w:val="1"/>
                <w:sz w:val="17"/>
              </w:rPr>
              <w:t> </w:t>
            </w:r>
            <w:r>
              <w:rPr>
                <w:b/>
                <w:color w:val="42691F"/>
                <w:spacing w:val="-2"/>
                <w:sz w:val="17"/>
              </w:rPr>
              <w:t>payment</w:t>
            </w:r>
            <w:r>
              <w:rPr>
                <w:b/>
                <w:color w:val="42691F"/>
                <w:sz w:val="17"/>
              </w:rPr>
              <w:t> </w:t>
            </w:r>
            <w:r>
              <w:rPr>
                <w:b/>
                <w:color w:val="42691F"/>
                <w:spacing w:val="-2"/>
                <w:sz w:val="17"/>
              </w:rPr>
              <w:t>basis</w:t>
            </w:r>
          </w:p>
        </w:tc>
        <w:tc>
          <w:tcPr>
            <w:tcW w:w="2203" w:type="dxa"/>
            <w:tcBorders>
              <w:left w:val="single" w:sz="4" w:space="0" w:color="C8D3BF"/>
              <w:bottom w:val="single" w:sz="4" w:space="0" w:color="C8D3BF"/>
              <w:right w:val="single" w:sz="4" w:space="0" w:color="C8D3BF"/>
            </w:tcBorders>
            <w:shd w:val="clear" w:color="auto" w:fill="EDF4E6"/>
          </w:tcPr>
          <w:p>
            <w:pPr>
              <w:pStyle w:val="TableParagraph"/>
              <w:spacing w:before="88"/>
              <w:rPr>
                <w:b/>
                <w:sz w:val="17"/>
              </w:rPr>
            </w:pPr>
            <w:r>
              <w:rPr>
                <w:b/>
                <w:color w:val="42691F"/>
                <w:spacing w:val="-2"/>
                <w:sz w:val="17"/>
              </w:rPr>
              <w:t>Illustrative</w:t>
            </w:r>
            <w:r>
              <w:rPr>
                <w:b/>
                <w:color w:val="42691F"/>
                <w:spacing w:val="2"/>
                <w:sz w:val="17"/>
              </w:rPr>
              <w:t> </w:t>
            </w:r>
            <w:r>
              <w:rPr>
                <w:b/>
                <w:color w:val="42691F"/>
                <w:spacing w:val="-2"/>
                <w:sz w:val="17"/>
              </w:rPr>
              <w:t>margin</w:t>
            </w:r>
            <w:r>
              <w:rPr>
                <w:b/>
                <w:color w:val="42691F"/>
                <w:spacing w:val="3"/>
                <w:sz w:val="17"/>
              </w:rPr>
              <w:t> </w:t>
            </w:r>
            <w:r>
              <w:rPr>
                <w:b/>
                <w:color w:val="42691F"/>
                <w:spacing w:val="-2"/>
                <w:sz w:val="17"/>
              </w:rPr>
              <w:t>signal</w:t>
            </w:r>
          </w:p>
        </w:tc>
        <w:tc>
          <w:tcPr>
            <w:tcW w:w="3067" w:type="dxa"/>
            <w:tcBorders>
              <w:left w:val="single" w:sz="4" w:space="0" w:color="C8D3BF"/>
              <w:bottom w:val="single" w:sz="4" w:space="0" w:color="C8D3BF"/>
              <w:right w:val="single" w:sz="4" w:space="0" w:color="C8D3BF"/>
            </w:tcBorders>
            <w:shd w:val="clear" w:color="auto" w:fill="EDF4E6"/>
          </w:tcPr>
          <w:p>
            <w:pPr>
              <w:pStyle w:val="TableParagraph"/>
              <w:spacing w:before="88"/>
              <w:rPr>
                <w:b/>
                <w:sz w:val="17"/>
              </w:rPr>
            </w:pPr>
            <w:r>
              <w:rPr>
                <w:b/>
                <w:color w:val="42691F"/>
                <w:spacing w:val="-2"/>
                <w:sz w:val="17"/>
              </w:rPr>
              <w:t>Implication</w:t>
            </w:r>
            <w:r>
              <w:rPr>
                <w:b/>
                <w:color w:val="42691F"/>
                <w:spacing w:val="1"/>
                <w:sz w:val="17"/>
              </w:rPr>
              <w:t> </w:t>
            </w:r>
            <w:r>
              <w:rPr>
                <w:b/>
                <w:color w:val="42691F"/>
                <w:spacing w:val="-2"/>
                <w:sz w:val="17"/>
              </w:rPr>
              <w:t>for</w:t>
            </w:r>
            <w:r>
              <w:rPr>
                <w:b/>
                <w:color w:val="42691F"/>
                <w:spacing w:val="1"/>
                <w:sz w:val="17"/>
              </w:rPr>
              <w:t> </w:t>
            </w:r>
            <w:r>
              <w:rPr>
                <w:b/>
                <w:color w:val="42691F"/>
                <w:spacing w:val="-2"/>
                <w:sz w:val="17"/>
              </w:rPr>
              <w:t>launch</w:t>
            </w:r>
            <w:r>
              <w:rPr>
                <w:b/>
                <w:color w:val="42691F"/>
                <w:spacing w:val="1"/>
                <w:sz w:val="17"/>
              </w:rPr>
              <w:t> </w:t>
            </w:r>
            <w:r>
              <w:rPr>
                <w:b/>
                <w:color w:val="42691F"/>
                <w:spacing w:val="-2"/>
                <w:sz w:val="17"/>
              </w:rPr>
              <w:t>strategy</w:t>
            </w:r>
          </w:p>
        </w:tc>
      </w:tr>
      <w:tr>
        <w:trPr>
          <w:trHeight w:val="998" w:hRule="atLeast"/>
        </w:trPr>
        <w:tc>
          <w:tcPr>
            <w:tcW w:w="2045" w:type="dxa"/>
            <w:tcBorders>
              <w:top w:val="single" w:sz="4" w:space="0" w:color="C8D3BF"/>
              <w:left w:val="single" w:sz="4" w:space="0" w:color="C8D3BF"/>
              <w:bottom w:val="single" w:sz="4" w:space="0" w:color="C8D3BF"/>
              <w:right w:val="single" w:sz="4" w:space="0" w:color="C8D3BF"/>
            </w:tcBorders>
            <w:shd w:val="clear" w:color="auto" w:fill="FFFFFF"/>
          </w:tcPr>
          <w:p>
            <w:pPr>
              <w:pStyle w:val="TableParagraph"/>
              <w:spacing w:line="252" w:lineRule="auto"/>
              <w:rPr>
                <w:sz w:val="16"/>
              </w:rPr>
            </w:pPr>
            <w:r>
              <w:rPr>
                <w:color w:val="4D565B"/>
                <w:spacing w:val="-2"/>
                <w:w w:val="105"/>
                <w:sz w:val="16"/>
              </w:rPr>
              <w:t>Commercial</w:t>
            </w:r>
            <w:r>
              <w:rPr>
                <w:color w:val="4D565B"/>
                <w:spacing w:val="-5"/>
                <w:w w:val="105"/>
                <w:sz w:val="16"/>
              </w:rPr>
              <w:t> </w:t>
            </w:r>
            <w:r>
              <w:rPr>
                <w:color w:val="4D565B"/>
                <w:spacing w:val="-2"/>
                <w:w w:val="105"/>
                <w:sz w:val="16"/>
              </w:rPr>
              <w:t>buy-and-</w:t>
            </w:r>
            <w:r>
              <w:rPr>
                <w:color w:val="4D565B"/>
                <w:spacing w:val="-2"/>
                <w:w w:val="105"/>
                <w:sz w:val="16"/>
              </w:rPr>
              <w:t>bill, </w:t>
            </w:r>
            <w:r>
              <w:rPr>
                <w:color w:val="4D565B"/>
                <w:w w:val="105"/>
                <w:sz w:val="16"/>
              </w:rPr>
              <w:t>15%</w:t>
            </w:r>
            <w:r>
              <w:rPr>
                <w:color w:val="4D565B"/>
                <w:spacing w:val="-6"/>
                <w:w w:val="105"/>
                <w:sz w:val="16"/>
              </w:rPr>
              <w:t> </w:t>
            </w:r>
            <w:r>
              <w:rPr>
                <w:color w:val="4D565B"/>
                <w:w w:val="105"/>
                <w:sz w:val="16"/>
              </w:rPr>
              <w:t>payer</w:t>
            </w:r>
            <w:r>
              <w:rPr>
                <w:color w:val="4D565B"/>
                <w:spacing w:val="-6"/>
                <w:w w:val="105"/>
                <w:sz w:val="16"/>
              </w:rPr>
              <w:t> </w:t>
            </w:r>
            <w:r>
              <w:rPr>
                <w:color w:val="4D565B"/>
                <w:w w:val="105"/>
                <w:sz w:val="16"/>
              </w:rPr>
              <w:t>discount</w:t>
            </w:r>
            <w:r>
              <w:rPr>
                <w:color w:val="4D565B"/>
                <w:spacing w:val="-5"/>
                <w:w w:val="105"/>
                <w:sz w:val="16"/>
              </w:rPr>
              <w:t> </w:t>
            </w:r>
            <w:r>
              <w:rPr>
                <w:color w:val="4D565B"/>
                <w:spacing w:val="-4"/>
                <w:w w:val="105"/>
                <w:sz w:val="16"/>
              </w:rPr>
              <w:t>view</w:t>
            </w:r>
          </w:p>
        </w:tc>
        <w:tc>
          <w:tcPr>
            <w:tcW w:w="3053" w:type="dxa"/>
            <w:tcBorders>
              <w:top w:val="single" w:sz="4" w:space="0" w:color="C8D3BF"/>
              <w:left w:val="single" w:sz="4" w:space="0" w:color="C8D3BF"/>
              <w:bottom w:val="single" w:sz="4" w:space="0" w:color="C8D3BF"/>
              <w:right w:val="single" w:sz="4" w:space="0" w:color="C8D3BF"/>
            </w:tcBorders>
            <w:shd w:val="clear" w:color="auto" w:fill="FFFFFF"/>
          </w:tcPr>
          <w:p>
            <w:pPr>
              <w:pStyle w:val="TableParagraph"/>
              <w:spacing w:line="252" w:lineRule="auto"/>
              <w:ind w:right="240"/>
              <w:rPr>
                <w:sz w:val="16"/>
              </w:rPr>
            </w:pPr>
            <w:r>
              <w:rPr>
                <w:color w:val="4D565B"/>
                <w:w w:val="105"/>
                <w:sz w:val="16"/>
              </w:rPr>
              <w:t>$39,000 acquisition; modeled reimbursement</w:t>
            </w:r>
            <w:r>
              <w:rPr>
                <w:color w:val="4D565B"/>
                <w:spacing w:val="-12"/>
                <w:w w:val="105"/>
                <w:sz w:val="16"/>
              </w:rPr>
              <w:t> </w:t>
            </w:r>
            <w:r>
              <w:rPr>
                <w:color w:val="4D565B"/>
                <w:w w:val="105"/>
                <w:sz w:val="16"/>
              </w:rPr>
              <w:t>compression</w:t>
            </w:r>
            <w:r>
              <w:rPr>
                <w:color w:val="4D565B"/>
                <w:spacing w:val="-12"/>
                <w:w w:val="105"/>
                <w:sz w:val="16"/>
              </w:rPr>
              <w:t> </w:t>
            </w:r>
            <w:r>
              <w:rPr>
                <w:color w:val="4D565B"/>
                <w:w w:val="105"/>
                <w:sz w:val="16"/>
              </w:rPr>
              <w:t>against </w:t>
            </w:r>
            <w:r>
              <w:rPr>
                <w:color w:val="4D565B"/>
                <w:spacing w:val="-2"/>
                <w:w w:val="105"/>
                <w:sz w:val="16"/>
              </w:rPr>
              <w:t>WAC[3]</w:t>
            </w:r>
          </w:p>
        </w:tc>
        <w:tc>
          <w:tcPr>
            <w:tcW w:w="2203" w:type="dxa"/>
            <w:tcBorders>
              <w:top w:val="single" w:sz="4" w:space="0" w:color="C8D3BF"/>
              <w:left w:val="single" w:sz="4" w:space="0" w:color="C8D3BF"/>
              <w:bottom w:val="single" w:sz="4" w:space="0" w:color="C8D3BF"/>
              <w:right w:val="single" w:sz="4" w:space="0" w:color="C8D3BF"/>
            </w:tcBorders>
            <w:shd w:val="clear" w:color="auto" w:fill="FFFFFF"/>
          </w:tcPr>
          <w:p>
            <w:pPr>
              <w:pStyle w:val="TableParagraph"/>
              <w:spacing w:line="252" w:lineRule="auto"/>
              <w:rPr>
                <w:sz w:val="16"/>
              </w:rPr>
            </w:pPr>
            <w:r>
              <w:rPr>
                <w:color w:val="4D565B"/>
                <w:w w:val="105"/>
                <w:sz w:val="16"/>
              </w:rPr>
              <w:t>About -$145 per </w:t>
            </w:r>
            <w:r>
              <w:rPr>
                <w:color w:val="4D565B"/>
                <w:spacing w:val="-2"/>
                <w:w w:val="105"/>
                <w:sz w:val="16"/>
              </w:rPr>
              <w:t>administration;</w:t>
            </w:r>
            <w:r>
              <w:rPr>
                <w:color w:val="4D565B"/>
                <w:spacing w:val="-7"/>
                <w:w w:val="105"/>
                <w:sz w:val="16"/>
              </w:rPr>
              <w:t> </w:t>
            </w:r>
            <w:r>
              <w:rPr>
                <w:color w:val="4D565B"/>
                <w:spacing w:val="-2"/>
                <w:w w:val="105"/>
                <w:sz w:val="16"/>
              </w:rPr>
              <w:t>about</w:t>
            </w:r>
          </w:p>
          <w:p>
            <w:pPr>
              <w:pStyle w:val="TableParagraph"/>
              <w:spacing w:before="1"/>
              <w:rPr>
                <w:sz w:val="16"/>
              </w:rPr>
            </w:pPr>
            <w:r>
              <w:rPr>
                <w:color w:val="4D565B"/>
                <w:w w:val="105"/>
                <w:sz w:val="16"/>
              </w:rPr>
              <w:t>-$3,771</w:t>
            </w:r>
            <w:r>
              <w:rPr>
                <w:color w:val="4D565B"/>
                <w:spacing w:val="-8"/>
                <w:w w:val="105"/>
                <w:sz w:val="16"/>
              </w:rPr>
              <w:t> </w:t>
            </w:r>
            <w:r>
              <w:rPr>
                <w:color w:val="4D565B"/>
                <w:w w:val="105"/>
                <w:sz w:val="16"/>
              </w:rPr>
              <w:t>per</w:t>
            </w:r>
            <w:r>
              <w:rPr>
                <w:color w:val="4D565B"/>
                <w:spacing w:val="-8"/>
                <w:w w:val="105"/>
                <w:sz w:val="16"/>
              </w:rPr>
              <w:t> </w:t>
            </w:r>
            <w:r>
              <w:rPr>
                <w:color w:val="4D565B"/>
                <w:w w:val="105"/>
                <w:sz w:val="16"/>
              </w:rPr>
              <w:t>patient-</w:t>
            </w:r>
            <w:r>
              <w:rPr>
                <w:color w:val="4D565B"/>
                <w:spacing w:val="-2"/>
                <w:w w:val="105"/>
                <w:sz w:val="16"/>
              </w:rPr>
              <w:t>year[3]</w:t>
            </w:r>
          </w:p>
        </w:tc>
        <w:tc>
          <w:tcPr>
            <w:tcW w:w="3067" w:type="dxa"/>
            <w:tcBorders>
              <w:top w:val="single" w:sz="4" w:space="0" w:color="C8D3BF"/>
              <w:left w:val="single" w:sz="4" w:space="0" w:color="C8D3BF"/>
              <w:bottom w:val="single" w:sz="4" w:space="0" w:color="C8D3BF"/>
              <w:right w:val="single" w:sz="4" w:space="0" w:color="C8D3BF"/>
            </w:tcBorders>
            <w:shd w:val="clear" w:color="auto" w:fill="FFFFFF"/>
          </w:tcPr>
          <w:p>
            <w:pPr>
              <w:pStyle w:val="TableParagraph"/>
              <w:spacing w:line="252" w:lineRule="auto"/>
              <w:ind w:right="402"/>
              <w:rPr>
                <w:sz w:val="16"/>
              </w:rPr>
            </w:pPr>
            <w:r>
              <w:rPr>
                <w:color w:val="4D565B"/>
                <w:w w:val="105"/>
                <w:sz w:val="16"/>
              </w:rPr>
              <w:t>Commercial access exists, but provider economics are near break-even</w:t>
            </w:r>
            <w:r>
              <w:rPr>
                <w:color w:val="4D565B"/>
                <w:spacing w:val="-12"/>
                <w:w w:val="105"/>
                <w:sz w:val="16"/>
              </w:rPr>
              <w:t> </w:t>
            </w:r>
            <w:r>
              <w:rPr>
                <w:color w:val="4D565B"/>
                <w:w w:val="105"/>
                <w:sz w:val="16"/>
              </w:rPr>
              <w:t>and</w:t>
            </w:r>
            <w:r>
              <w:rPr>
                <w:color w:val="4D565B"/>
                <w:spacing w:val="-12"/>
                <w:w w:val="105"/>
                <w:sz w:val="16"/>
              </w:rPr>
              <w:t> </w:t>
            </w:r>
            <w:r>
              <w:rPr>
                <w:color w:val="4D565B"/>
                <w:w w:val="105"/>
                <w:sz w:val="16"/>
              </w:rPr>
              <w:t>turn</w:t>
            </w:r>
            <w:r>
              <w:rPr>
                <w:color w:val="4D565B"/>
                <w:spacing w:val="-11"/>
                <w:w w:val="105"/>
                <w:sz w:val="16"/>
              </w:rPr>
              <w:t> </w:t>
            </w:r>
            <w:r>
              <w:rPr>
                <w:color w:val="4D565B"/>
                <w:w w:val="105"/>
                <w:sz w:val="16"/>
              </w:rPr>
              <w:t>negative</w:t>
            </w:r>
            <w:r>
              <w:rPr>
                <w:color w:val="4D565B"/>
                <w:spacing w:val="-12"/>
                <w:w w:val="105"/>
                <w:sz w:val="16"/>
              </w:rPr>
              <w:t> </w:t>
            </w:r>
            <w:r>
              <w:rPr>
                <w:color w:val="4D565B"/>
                <w:w w:val="105"/>
                <w:sz w:val="16"/>
              </w:rPr>
              <w:t>after</w:t>
            </w:r>
          </w:p>
          <w:p>
            <w:pPr>
              <w:pStyle w:val="TableParagraph"/>
              <w:spacing w:before="1"/>
              <w:rPr>
                <w:sz w:val="16"/>
              </w:rPr>
            </w:pPr>
            <w:r>
              <w:rPr>
                <w:color w:val="4D565B"/>
                <w:w w:val="105"/>
                <w:sz w:val="16"/>
              </w:rPr>
              <w:t>denial</w:t>
            </w:r>
            <w:r>
              <w:rPr>
                <w:color w:val="4D565B"/>
                <w:spacing w:val="-7"/>
                <w:w w:val="105"/>
                <w:sz w:val="16"/>
              </w:rPr>
              <w:t> </w:t>
            </w:r>
            <w:r>
              <w:rPr>
                <w:color w:val="4D565B"/>
                <w:w w:val="105"/>
                <w:sz w:val="16"/>
              </w:rPr>
              <w:t>drag</w:t>
            </w:r>
            <w:r>
              <w:rPr>
                <w:color w:val="4D565B"/>
                <w:spacing w:val="-6"/>
                <w:w w:val="105"/>
                <w:sz w:val="16"/>
              </w:rPr>
              <w:t> </w:t>
            </w:r>
            <w:r>
              <w:rPr>
                <w:color w:val="4D565B"/>
                <w:w w:val="105"/>
                <w:sz w:val="16"/>
              </w:rPr>
              <w:t>and</w:t>
            </w:r>
            <w:r>
              <w:rPr>
                <w:color w:val="4D565B"/>
                <w:spacing w:val="-7"/>
                <w:w w:val="105"/>
                <w:sz w:val="16"/>
              </w:rPr>
              <w:t> </w:t>
            </w:r>
            <w:r>
              <w:rPr>
                <w:color w:val="4D565B"/>
                <w:w w:val="105"/>
                <w:sz w:val="16"/>
              </w:rPr>
              <w:t>working-capital</w:t>
            </w:r>
            <w:r>
              <w:rPr>
                <w:color w:val="4D565B"/>
                <w:spacing w:val="-6"/>
                <w:w w:val="105"/>
                <w:sz w:val="16"/>
              </w:rPr>
              <w:t> </w:t>
            </w:r>
            <w:r>
              <w:rPr>
                <w:color w:val="4D565B"/>
                <w:spacing w:val="-2"/>
                <w:w w:val="105"/>
                <w:sz w:val="16"/>
              </w:rPr>
              <w:t>cost.</w:t>
            </w:r>
          </w:p>
        </w:tc>
      </w:tr>
    </w:tbl>
    <w:p>
      <w:pPr>
        <w:pStyle w:val="BodyText"/>
      </w:pPr>
    </w:p>
    <w:p>
      <w:pPr>
        <w:pStyle w:val="BodyText"/>
      </w:pPr>
    </w:p>
    <w:p>
      <w:pPr>
        <w:pStyle w:val="BodyText"/>
      </w:pPr>
    </w:p>
    <w:p>
      <w:pPr>
        <w:pStyle w:val="BodyText"/>
      </w:pPr>
    </w:p>
    <w:p>
      <w:pPr>
        <w:pStyle w:val="BodyText"/>
        <w:spacing w:before="123"/>
      </w:pPr>
    </w:p>
    <w:p>
      <w:pPr>
        <w:spacing w:before="1"/>
        <w:ind w:left="0" w:right="113" w:firstLine="0"/>
        <w:jc w:val="right"/>
        <w:rPr>
          <w:sz w:val="16"/>
        </w:rPr>
      </w:pPr>
      <w:r>
        <w:rPr>
          <w:color w:val="6E7579"/>
          <w:sz w:val="16"/>
        </w:rPr>
        <w:t>Page </w:t>
      </w:r>
      <w:r>
        <w:rPr>
          <w:color w:val="6E7579"/>
          <w:spacing w:val="-10"/>
          <w:sz w:val="16"/>
        </w:rPr>
        <w:t>2</w:t>
      </w:r>
    </w:p>
    <w:p>
      <w:pPr>
        <w:spacing w:after="0"/>
        <w:jc w:val="right"/>
        <w:rPr>
          <w:sz w:val="16"/>
        </w:rPr>
        <w:sectPr>
          <w:pgSz w:w="12240" w:h="15840"/>
          <w:pgMar w:top="1820" w:bottom="280" w:left="720" w:right="720"/>
        </w:sectPr>
      </w:pPr>
    </w:p>
    <w:p>
      <w:pPr>
        <w:pStyle w:val="BodyText"/>
        <w:spacing w:before="11"/>
        <w:rPr>
          <w:sz w:val="4"/>
        </w:rPr>
      </w:pPr>
      <w:r>
        <w:rPr>
          <w:sz w:val="4"/>
        </w:rPr>
        <mc:AlternateContent>
          <mc:Choice Requires="wps">
            <w:drawing>
              <wp:anchor distT="0" distB="0" distL="0" distR="0" allowOverlap="1" layoutInCell="1" locked="0" behindDoc="1" simplePos="0" relativeHeight="487280128">
                <wp:simplePos x="0" y="0"/>
                <wp:positionH relativeFrom="page">
                  <wp:posOffset>0</wp:posOffset>
                </wp:positionH>
                <wp:positionV relativeFrom="page">
                  <wp:posOffset>0</wp:posOffset>
                </wp:positionV>
                <wp:extent cx="7772400" cy="1005840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7772400" cy="10058400"/>
                          <a:chExt cx="7772400" cy="10058400"/>
                        </a:xfrm>
                      </wpg:grpSpPr>
                      <pic:pic>
                        <pic:nvPicPr>
                          <pic:cNvPr id="38" name="Image 38"/>
                          <pic:cNvPicPr/>
                        </pic:nvPicPr>
                        <pic:blipFill>
                          <a:blip r:embed="rId5" cstate="print"/>
                          <a:stretch>
                            <a:fillRect/>
                          </a:stretch>
                        </pic:blipFill>
                        <pic:spPr>
                          <a:xfrm>
                            <a:off x="0" y="0"/>
                            <a:ext cx="7772400" cy="10058400"/>
                          </a:xfrm>
                          <a:prstGeom prst="rect">
                            <a:avLst/>
                          </a:prstGeom>
                        </pic:spPr>
                      </pic:pic>
                      <pic:pic>
                        <pic:nvPicPr>
                          <pic:cNvPr id="39" name="Image 39"/>
                          <pic:cNvPicPr/>
                        </pic:nvPicPr>
                        <pic:blipFill>
                          <a:blip r:embed="rId6" cstate="print"/>
                          <a:stretch>
                            <a:fillRect/>
                          </a:stretch>
                        </pic:blipFill>
                        <pic:spPr>
                          <a:xfrm>
                            <a:off x="393191" y="9595713"/>
                            <a:ext cx="960119" cy="87782"/>
                          </a:xfrm>
                          <a:prstGeom prst="rect">
                            <a:avLst/>
                          </a:prstGeom>
                        </pic:spPr>
                      </pic:pic>
                    </wpg:wgp>
                  </a:graphicData>
                </a:graphic>
              </wp:anchor>
            </w:drawing>
          </mc:Choice>
          <mc:Fallback>
            <w:pict>
              <v:group style="position:absolute;margin-left:0pt;margin-top:0pt;width:612pt;height:792pt;mso-position-horizontal-relative:page;mso-position-vertical-relative:page;z-index:-16036352" id="docshapegroup37" coordorigin="0,0" coordsize="12240,15840">
                <v:shape style="position:absolute;left:0;top:0;width:12240;height:15840" type="#_x0000_t75" id="docshape38" stroked="false">
                  <v:imagedata r:id="rId5" o:title=""/>
                </v:shape>
                <v:shape style="position:absolute;left:619;top:15111;width:1512;height:139" type="#_x0000_t75" id="docshape39" stroked="false">
                  <v:imagedata r:id="rId6" o:title=""/>
                </v:shape>
                <w10:wrap type="none"/>
              </v:group>
            </w:pict>
          </mc:Fallback>
        </mc:AlternateContent>
      </w:r>
    </w:p>
    <w:tbl>
      <w:tblPr>
        <w:tblW w:w="0" w:type="auto"/>
        <w:jc w:val="left"/>
        <w:tblInd w:w="221" w:type="dxa"/>
        <w:tblBorders>
          <w:top w:val="single" w:sz="12" w:space="0" w:color="5B8C2B"/>
          <w:left w:val="single" w:sz="12" w:space="0" w:color="5B8C2B"/>
          <w:bottom w:val="single" w:sz="12" w:space="0" w:color="5B8C2B"/>
          <w:right w:val="single" w:sz="12" w:space="0" w:color="5B8C2B"/>
          <w:insideH w:val="single" w:sz="12" w:space="0" w:color="5B8C2B"/>
          <w:insideV w:val="single" w:sz="12" w:space="0" w:color="5B8C2B"/>
        </w:tblBorders>
        <w:tblLayout w:type="fixed"/>
        <w:tblCellMar>
          <w:top w:w="0" w:type="dxa"/>
          <w:left w:w="0" w:type="dxa"/>
          <w:bottom w:w="0" w:type="dxa"/>
          <w:right w:w="0" w:type="dxa"/>
        </w:tblCellMar>
        <w:tblLook w:val="01E0"/>
      </w:tblPr>
      <w:tblGrid>
        <w:gridCol w:w="2045"/>
        <w:gridCol w:w="3053"/>
        <w:gridCol w:w="2203"/>
        <w:gridCol w:w="3067"/>
      </w:tblGrid>
      <w:tr>
        <w:trPr>
          <w:trHeight w:val="384" w:hRule="atLeast"/>
        </w:trPr>
        <w:tc>
          <w:tcPr>
            <w:tcW w:w="2045" w:type="dxa"/>
            <w:tcBorders>
              <w:left w:val="single" w:sz="4" w:space="0" w:color="C8D3BF"/>
              <w:bottom w:val="single" w:sz="4" w:space="0" w:color="C8D3BF"/>
              <w:right w:val="single" w:sz="4" w:space="0" w:color="C8D3BF"/>
            </w:tcBorders>
            <w:shd w:val="clear" w:color="auto" w:fill="EDF4E6"/>
          </w:tcPr>
          <w:p>
            <w:pPr>
              <w:pStyle w:val="TableParagraph"/>
              <w:spacing w:before="88"/>
              <w:rPr>
                <w:b/>
                <w:sz w:val="17"/>
              </w:rPr>
            </w:pPr>
            <w:r>
              <w:rPr>
                <w:b/>
                <w:color w:val="42691F"/>
                <w:spacing w:val="-2"/>
                <w:sz w:val="17"/>
              </w:rPr>
              <w:t>Scenario</w:t>
            </w:r>
          </w:p>
        </w:tc>
        <w:tc>
          <w:tcPr>
            <w:tcW w:w="3053" w:type="dxa"/>
            <w:tcBorders>
              <w:left w:val="single" w:sz="4" w:space="0" w:color="C8D3BF"/>
              <w:bottom w:val="single" w:sz="4" w:space="0" w:color="C8D3BF"/>
              <w:right w:val="single" w:sz="4" w:space="0" w:color="C8D3BF"/>
            </w:tcBorders>
            <w:shd w:val="clear" w:color="auto" w:fill="EDF4E6"/>
          </w:tcPr>
          <w:p>
            <w:pPr>
              <w:pStyle w:val="TableParagraph"/>
              <w:spacing w:before="88"/>
              <w:rPr>
                <w:b/>
                <w:sz w:val="17"/>
              </w:rPr>
            </w:pPr>
            <w:r>
              <w:rPr>
                <w:b/>
                <w:color w:val="42691F"/>
                <w:spacing w:val="-2"/>
                <w:sz w:val="17"/>
              </w:rPr>
              <w:t>Acquisition</w:t>
            </w:r>
            <w:r>
              <w:rPr>
                <w:b/>
                <w:color w:val="42691F"/>
                <w:sz w:val="17"/>
              </w:rPr>
              <w:t> </w:t>
            </w:r>
            <w:r>
              <w:rPr>
                <w:b/>
                <w:color w:val="42691F"/>
                <w:spacing w:val="-2"/>
                <w:sz w:val="17"/>
              </w:rPr>
              <w:t>/</w:t>
            </w:r>
            <w:r>
              <w:rPr>
                <w:b/>
                <w:color w:val="42691F"/>
                <w:spacing w:val="1"/>
                <w:sz w:val="17"/>
              </w:rPr>
              <w:t> </w:t>
            </w:r>
            <w:r>
              <w:rPr>
                <w:b/>
                <w:color w:val="42691F"/>
                <w:spacing w:val="-2"/>
                <w:sz w:val="17"/>
              </w:rPr>
              <w:t>payment</w:t>
            </w:r>
            <w:r>
              <w:rPr>
                <w:b/>
                <w:color w:val="42691F"/>
                <w:sz w:val="17"/>
              </w:rPr>
              <w:t> </w:t>
            </w:r>
            <w:r>
              <w:rPr>
                <w:b/>
                <w:color w:val="42691F"/>
                <w:spacing w:val="-2"/>
                <w:sz w:val="17"/>
              </w:rPr>
              <w:t>basis</w:t>
            </w:r>
          </w:p>
        </w:tc>
        <w:tc>
          <w:tcPr>
            <w:tcW w:w="2203" w:type="dxa"/>
            <w:tcBorders>
              <w:left w:val="single" w:sz="4" w:space="0" w:color="C8D3BF"/>
              <w:bottom w:val="single" w:sz="4" w:space="0" w:color="C8D3BF"/>
              <w:right w:val="single" w:sz="4" w:space="0" w:color="C8D3BF"/>
            </w:tcBorders>
            <w:shd w:val="clear" w:color="auto" w:fill="EDF4E6"/>
          </w:tcPr>
          <w:p>
            <w:pPr>
              <w:pStyle w:val="TableParagraph"/>
              <w:spacing w:before="88"/>
              <w:rPr>
                <w:b/>
                <w:sz w:val="17"/>
              </w:rPr>
            </w:pPr>
            <w:r>
              <w:rPr>
                <w:b/>
                <w:color w:val="42691F"/>
                <w:spacing w:val="-2"/>
                <w:sz w:val="17"/>
              </w:rPr>
              <w:t>Illustrative</w:t>
            </w:r>
            <w:r>
              <w:rPr>
                <w:b/>
                <w:color w:val="42691F"/>
                <w:spacing w:val="2"/>
                <w:sz w:val="17"/>
              </w:rPr>
              <w:t> </w:t>
            </w:r>
            <w:r>
              <w:rPr>
                <w:b/>
                <w:color w:val="42691F"/>
                <w:spacing w:val="-2"/>
                <w:sz w:val="17"/>
              </w:rPr>
              <w:t>margin</w:t>
            </w:r>
            <w:r>
              <w:rPr>
                <w:b/>
                <w:color w:val="42691F"/>
                <w:spacing w:val="3"/>
                <w:sz w:val="17"/>
              </w:rPr>
              <w:t> </w:t>
            </w:r>
            <w:r>
              <w:rPr>
                <w:b/>
                <w:color w:val="42691F"/>
                <w:spacing w:val="-2"/>
                <w:sz w:val="17"/>
              </w:rPr>
              <w:t>signal</w:t>
            </w:r>
          </w:p>
        </w:tc>
        <w:tc>
          <w:tcPr>
            <w:tcW w:w="3067" w:type="dxa"/>
            <w:tcBorders>
              <w:left w:val="single" w:sz="4" w:space="0" w:color="C8D3BF"/>
              <w:bottom w:val="single" w:sz="4" w:space="0" w:color="C8D3BF"/>
              <w:right w:val="single" w:sz="4" w:space="0" w:color="C8D3BF"/>
            </w:tcBorders>
            <w:shd w:val="clear" w:color="auto" w:fill="EDF4E6"/>
          </w:tcPr>
          <w:p>
            <w:pPr>
              <w:pStyle w:val="TableParagraph"/>
              <w:spacing w:before="88"/>
              <w:rPr>
                <w:b/>
                <w:sz w:val="17"/>
              </w:rPr>
            </w:pPr>
            <w:r>
              <w:rPr>
                <w:b/>
                <w:color w:val="42691F"/>
                <w:spacing w:val="-2"/>
                <w:sz w:val="17"/>
              </w:rPr>
              <w:t>Implication</w:t>
            </w:r>
            <w:r>
              <w:rPr>
                <w:b/>
                <w:color w:val="42691F"/>
                <w:spacing w:val="1"/>
                <w:sz w:val="17"/>
              </w:rPr>
              <w:t> </w:t>
            </w:r>
            <w:r>
              <w:rPr>
                <w:b/>
                <w:color w:val="42691F"/>
                <w:spacing w:val="-2"/>
                <w:sz w:val="17"/>
              </w:rPr>
              <w:t>for</w:t>
            </w:r>
            <w:r>
              <w:rPr>
                <w:b/>
                <w:color w:val="42691F"/>
                <w:spacing w:val="1"/>
                <w:sz w:val="17"/>
              </w:rPr>
              <w:t> </w:t>
            </w:r>
            <w:r>
              <w:rPr>
                <w:b/>
                <w:color w:val="42691F"/>
                <w:spacing w:val="-2"/>
                <w:sz w:val="17"/>
              </w:rPr>
              <w:t>launch</w:t>
            </w:r>
            <w:r>
              <w:rPr>
                <w:b/>
                <w:color w:val="42691F"/>
                <w:spacing w:val="1"/>
                <w:sz w:val="17"/>
              </w:rPr>
              <w:t> </w:t>
            </w:r>
            <w:r>
              <w:rPr>
                <w:b/>
                <w:color w:val="42691F"/>
                <w:spacing w:val="-2"/>
                <w:sz w:val="17"/>
              </w:rPr>
              <w:t>strategy</w:t>
            </w:r>
          </w:p>
        </w:tc>
      </w:tr>
      <w:tr>
        <w:trPr>
          <w:trHeight w:val="795" w:hRule="atLeast"/>
        </w:trPr>
        <w:tc>
          <w:tcPr>
            <w:tcW w:w="2045" w:type="dxa"/>
            <w:tcBorders>
              <w:top w:val="single" w:sz="4" w:space="0" w:color="C8D3BF"/>
              <w:left w:val="single" w:sz="4" w:space="0" w:color="C8D3BF"/>
              <w:bottom w:val="single" w:sz="4" w:space="0" w:color="C8D3BF"/>
              <w:right w:val="single" w:sz="4" w:space="0" w:color="C8D3BF"/>
            </w:tcBorders>
            <w:shd w:val="clear" w:color="auto" w:fill="FFFFFF"/>
          </w:tcPr>
          <w:p>
            <w:pPr>
              <w:pStyle w:val="TableParagraph"/>
              <w:spacing w:line="252" w:lineRule="auto"/>
              <w:ind w:right="90"/>
              <w:rPr>
                <w:sz w:val="16"/>
              </w:rPr>
            </w:pPr>
            <w:r>
              <w:rPr>
                <w:color w:val="4D565B"/>
                <w:spacing w:val="-2"/>
                <w:w w:val="105"/>
                <w:sz w:val="16"/>
              </w:rPr>
              <w:t>Commercial</w:t>
            </w:r>
            <w:r>
              <w:rPr>
                <w:color w:val="4D565B"/>
                <w:spacing w:val="-5"/>
                <w:w w:val="105"/>
                <w:sz w:val="16"/>
              </w:rPr>
              <w:t> </w:t>
            </w:r>
            <w:r>
              <w:rPr>
                <w:color w:val="4D565B"/>
                <w:spacing w:val="-2"/>
                <w:w w:val="105"/>
                <w:sz w:val="16"/>
              </w:rPr>
              <w:t>buy-and-</w:t>
            </w:r>
            <w:r>
              <w:rPr>
                <w:color w:val="4D565B"/>
                <w:spacing w:val="-2"/>
                <w:w w:val="105"/>
                <w:sz w:val="16"/>
              </w:rPr>
              <w:t>bill, </w:t>
            </w:r>
            <w:r>
              <w:rPr>
                <w:color w:val="4D565B"/>
                <w:w w:val="105"/>
                <w:sz w:val="16"/>
              </w:rPr>
              <w:t>5% manufacturer</w:t>
            </w:r>
            <w:r>
              <w:rPr>
                <w:color w:val="4D565B"/>
                <w:spacing w:val="40"/>
                <w:w w:val="105"/>
                <w:sz w:val="16"/>
              </w:rPr>
              <w:t> </w:t>
            </w:r>
            <w:r>
              <w:rPr>
                <w:color w:val="4D565B"/>
                <w:spacing w:val="-2"/>
                <w:w w:val="105"/>
                <w:sz w:val="16"/>
              </w:rPr>
              <w:t>support</w:t>
            </w:r>
          </w:p>
        </w:tc>
        <w:tc>
          <w:tcPr>
            <w:tcW w:w="3053" w:type="dxa"/>
            <w:tcBorders>
              <w:top w:val="single" w:sz="4" w:space="0" w:color="C8D3BF"/>
              <w:left w:val="single" w:sz="4" w:space="0" w:color="C8D3BF"/>
              <w:bottom w:val="single" w:sz="4" w:space="0" w:color="C8D3BF"/>
              <w:right w:val="single" w:sz="4" w:space="0" w:color="C8D3BF"/>
            </w:tcBorders>
            <w:shd w:val="clear" w:color="auto" w:fill="FFFFFF"/>
          </w:tcPr>
          <w:p>
            <w:pPr>
              <w:pStyle w:val="TableParagraph"/>
              <w:spacing w:line="252" w:lineRule="auto"/>
              <w:ind w:right="12"/>
              <w:rPr>
                <w:sz w:val="16"/>
              </w:rPr>
            </w:pPr>
            <w:r>
              <w:rPr>
                <w:color w:val="4D565B"/>
                <w:w w:val="105"/>
                <w:sz w:val="16"/>
              </w:rPr>
              <w:t>$39,000</w:t>
            </w:r>
            <w:r>
              <w:rPr>
                <w:color w:val="4D565B"/>
                <w:spacing w:val="-12"/>
                <w:w w:val="105"/>
                <w:sz w:val="16"/>
              </w:rPr>
              <w:t> </w:t>
            </w:r>
            <w:r>
              <w:rPr>
                <w:color w:val="4D565B"/>
                <w:w w:val="105"/>
                <w:sz w:val="16"/>
              </w:rPr>
              <w:t>acquisition</w:t>
            </w:r>
            <w:r>
              <w:rPr>
                <w:color w:val="4D565B"/>
                <w:spacing w:val="-12"/>
                <w:w w:val="105"/>
                <w:sz w:val="16"/>
              </w:rPr>
              <w:t> </w:t>
            </w:r>
            <w:r>
              <w:rPr>
                <w:color w:val="4D565B"/>
                <w:w w:val="105"/>
                <w:sz w:val="16"/>
              </w:rPr>
              <w:t>less</w:t>
            </w:r>
            <w:r>
              <w:rPr>
                <w:color w:val="4D565B"/>
                <w:spacing w:val="-11"/>
                <w:w w:val="105"/>
                <w:sz w:val="16"/>
              </w:rPr>
              <w:t> </w:t>
            </w:r>
            <w:r>
              <w:rPr>
                <w:color w:val="4D565B"/>
                <w:w w:val="105"/>
                <w:sz w:val="16"/>
              </w:rPr>
              <w:t>support</w:t>
            </w:r>
            <w:r>
              <w:rPr>
                <w:color w:val="4D565B"/>
                <w:spacing w:val="-12"/>
                <w:w w:val="105"/>
                <w:sz w:val="16"/>
              </w:rPr>
              <w:t> </w:t>
            </w:r>
            <w:r>
              <w:rPr>
                <w:color w:val="4D565B"/>
                <w:w w:val="105"/>
                <w:sz w:val="16"/>
              </w:rPr>
              <w:t>equal to $1,950 per dose[3]</w:t>
            </w:r>
          </w:p>
        </w:tc>
        <w:tc>
          <w:tcPr>
            <w:tcW w:w="2203" w:type="dxa"/>
            <w:tcBorders>
              <w:top w:val="single" w:sz="4" w:space="0" w:color="C8D3BF"/>
              <w:left w:val="single" w:sz="4" w:space="0" w:color="C8D3BF"/>
              <w:bottom w:val="single" w:sz="4" w:space="0" w:color="C8D3BF"/>
              <w:right w:val="single" w:sz="4" w:space="0" w:color="C8D3BF"/>
            </w:tcBorders>
            <w:shd w:val="clear" w:color="auto" w:fill="FFFFFF"/>
          </w:tcPr>
          <w:p>
            <w:pPr>
              <w:pStyle w:val="TableParagraph"/>
              <w:spacing w:line="252" w:lineRule="auto"/>
              <w:ind w:right="258"/>
              <w:rPr>
                <w:sz w:val="16"/>
              </w:rPr>
            </w:pPr>
            <w:r>
              <w:rPr>
                <w:color w:val="4D565B"/>
                <w:w w:val="105"/>
                <w:sz w:val="16"/>
              </w:rPr>
              <w:t>Near-neutral</w:t>
            </w:r>
            <w:r>
              <w:rPr>
                <w:color w:val="4D565B"/>
                <w:spacing w:val="-12"/>
                <w:w w:val="105"/>
                <w:sz w:val="16"/>
              </w:rPr>
              <w:t> </w:t>
            </w:r>
            <w:r>
              <w:rPr>
                <w:color w:val="4D565B"/>
                <w:w w:val="105"/>
                <w:sz w:val="16"/>
              </w:rPr>
              <w:t>to</w:t>
            </w:r>
            <w:r>
              <w:rPr>
                <w:color w:val="4D565B"/>
                <w:spacing w:val="-12"/>
                <w:w w:val="105"/>
                <w:sz w:val="16"/>
              </w:rPr>
              <w:t> </w:t>
            </w:r>
            <w:r>
              <w:rPr>
                <w:color w:val="4D565B"/>
                <w:w w:val="105"/>
                <w:sz w:val="16"/>
              </w:rPr>
              <w:t>modestly </w:t>
            </w:r>
            <w:r>
              <w:rPr>
                <w:color w:val="4D565B"/>
                <w:spacing w:val="-2"/>
                <w:w w:val="105"/>
                <w:sz w:val="16"/>
              </w:rPr>
              <w:t>positive[3]</w:t>
            </w:r>
          </w:p>
        </w:tc>
        <w:tc>
          <w:tcPr>
            <w:tcW w:w="3067" w:type="dxa"/>
            <w:tcBorders>
              <w:top w:val="single" w:sz="4" w:space="0" w:color="C8D3BF"/>
              <w:left w:val="single" w:sz="4" w:space="0" w:color="C8D3BF"/>
              <w:bottom w:val="single" w:sz="4" w:space="0" w:color="C8D3BF"/>
              <w:right w:val="single" w:sz="4" w:space="0" w:color="C8D3BF"/>
            </w:tcBorders>
            <w:shd w:val="clear" w:color="auto" w:fill="FFFFFF"/>
          </w:tcPr>
          <w:p>
            <w:pPr>
              <w:pStyle w:val="TableParagraph"/>
              <w:spacing w:line="252" w:lineRule="auto"/>
              <w:rPr>
                <w:sz w:val="16"/>
              </w:rPr>
            </w:pPr>
            <w:r>
              <w:rPr>
                <w:color w:val="4D565B"/>
                <w:w w:val="105"/>
                <w:sz w:val="16"/>
              </w:rPr>
              <w:t>Represents</w:t>
            </w:r>
            <w:r>
              <w:rPr>
                <w:color w:val="4D565B"/>
                <w:spacing w:val="-12"/>
                <w:w w:val="105"/>
                <w:sz w:val="16"/>
              </w:rPr>
              <w:t> </w:t>
            </w:r>
            <w:r>
              <w:rPr>
                <w:color w:val="4D565B"/>
                <w:w w:val="105"/>
                <w:sz w:val="16"/>
              </w:rPr>
              <w:t>the</w:t>
            </w:r>
            <w:r>
              <w:rPr>
                <w:color w:val="4D565B"/>
                <w:spacing w:val="-12"/>
                <w:w w:val="105"/>
                <w:sz w:val="16"/>
              </w:rPr>
              <w:t> </w:t>
            </w:r>
            <w:r>
              <w:rPr>
                <w:color w:val="4D565B"/>
                <w:w w:val="105"/>
                <w:sz w:val="16"/>
              </w:rPr>
              <w:t>lowest</w:t>
            </w:r>
            <w:r>
              <w:rPr>
                <w:color w:val="4D565B"/>
                <w:spacing w:val="-11"/>
                <w:w w:val="105"/>
                <w:sz w:val="16"/>
              </w:rPr>
              <w:t> </w:t>
            </w:r>
            <w:r>
              <w:rPr>
                <w:color w:val="4D565B"/>
                <w:w w:val="105"/>
                <w:sz w:val="16"/>
              </w:rPr>
              <w:t>realistic</w:t>
            </w:r>
            <w:r>
              <w:rPr>
                <w:color w:val="4D565B"/>
                <w:spacing w:val="-12"/>
                <w:w w:val="105"/>
                <w:sz w:val="16"/>
              </w:rPr>
              <w:t> </w:t>
            </w:r>
            <w:r>
              <w:rPr>
                <w:color w:val="4D565B"/>
                <w:w w:val="105"/>
                <w:sz w:val="16"/>
              </w:rPr>
              <w:t>support threshold for non-340B provider </w:t>
            </w:r>
            <w:r>
              <w:rPr>
                <w:color w:val="4D565B"/>
                <w:spacing w:val="-2"/>
                <w:w w:val="105"/>
                <w:sz w:val="16"/>
              </w:rPr>
              <w:t>participation.</w:t>
            </w:r>
          </w:p>
        </w:tc>
      </w:tr>
      <w:tr>
        <w:trPr>
          <w:trHeight w:val="796" w:hRule="atLeast"/>
        </w:trPr>
        <w:tc>
          <w:tcPr>
            <w:tcW w:w="2045" w:type="dxa"/>
            <w:tcBorders>
              <w:top w:val="single" w:sz="4" w:space="0" w:color="C8D3BF"/>
              <w:left w:val="single" w:sz="4" w:space="0" w:color="C8D3BF"/>
              <w:bottom w:val="single" w:sz="4" w:space="0" w:color="C8D3BF"/>
              <w:right w:val="single" w:sz="4" w:space="0" w:color="C8D3BF"/>
            </w:tcBorders>
            <w:shd w:val="clear" w:color="auto" w:fill="F6F6F2"/>
          </w:tcPr>
          <w:p>
            <w:pPr>
              <w:pStyle w:val="TableParagraph"/>
              <w:spacing w:line="252" w:lineRule="auto"/>
              <w:ind w:right="36"/>
              <w:rPr>
                <w:sz w:val="16"/>
              </w:rPr>
            </w:pPr>
            <w:r>
              <w:rPr>
                <w:color w:val="4D565B"/>
                <w:spacing w:val="-2"/>
                <w:w w:val="105"/>
                <w:sz w:val="16"/>
              </w:rPr>
              <w:t>Commercial</w:t>
            </w:r>
            <w:r>
              <w:rPr>
                <w:color w:val="4D565B"/>
                <w:spacing w:val="-5"/>
                <w:w w:val="105"/>
                <w:sz w:val="16"/>
              </w:rPr>
              <w:t> </w:t>
            </w:r>
            <w:r>
              <w:rPr>
                <w:color w:val="4D565B"/>
                <w:spacing w:val="-2"/>
                <w:w w:val="105"/>
                <w:sz w:val="16"/>
              </w:rPr>
              <w:t>buy-and-</w:t>
            </w:r>
            <w:r>
              <w:rPr>
                <w:color w:val="4D565B"/>
                <w:spacing w:val="-2"/>
                <w:w w:val="105"/>
                <w:sz w:val="16"/>
              </w:rPr>
              <w:t>bill, </w:t>
            </w:r>
            <w:r>
              <w:rPr>
                <w:color w:val="4D565B"/>
                <w:w w:val="105"/>
                <w:sz w:val="16"/>
              </w:rPr>
              <w:t>10% manufacturer </w:t>
            </w:r>
            <w:r>
              <w:rPr>
                <w:color w:val="4D565B"/>
                <w:spacing w:val="-2"/>
                <w:w w:val="105"/>
                <w:sz w:val="16"/>
              </w:rPr>
              <w:t>support</w:t>
            </w:r>
          </w:p>
        </w:tc>
        <w:tc>
          <w:tcPr>
            <w:tcW w:w="3053" w:type="dxa"/>
            <w:tcBorders>
              <w:top w:val="single" w:sz="4" w:space="0" w:color="C8D3BF"/>
              <w:left w:val="single" w:sz="4" w:space="0" w:color="C8D3BF"/>
              <w:bottom w:val="single" w:sz="4" w:space="0" w:color="C8D3BF"/>
              <w:right w:val="single" w:sz="4" w:space="0" w:color="C8D3BF"/>
            </w:tcBorders>
            <w:shd w:val="clear" w:color="auto" w:fill="F6F6F2"/>
          </w:tcPr>
          <w:p>
            <w:pPr>
              <w:pStyle w:val="TableParagraph"/>
              <w:spacing w:line="252" w:lineRule="auto"/>
              <w:ind w:right="12"/>
              <w:rPr>
                <w:sz w:val="16"/>
              </w:rPr>
            </w:pPr>
            <w:r>
              <w:rPr>
                <w:color w:val="4D565B"/>
                <w:w w:val="105"/>
                <w:sz w:val="16"/>
              </w:rPr>
              <w:t>$39,000</w:t>
            </w:r>
            <w:r>
              <w:rPr>
                <w:color w:val="4D565B"/>
                <w:spacing w:val="-12"/>
                <w:w w:val="105"/>
                <w:sz w:val="16"/>
              </w:rPr>
              <w:t> </w:t>
            </w:r>
            <w:r>
              <w:rPr>
                <w:color w:val="4D565B"/>
                <w:w w:val="105"/>
                <w:sz w:val="16"/>
              </w:rPr>
              <w:t>acquisition</w:t>
            </w:r>
            <w:r>
              <w:rPr>
                <w:color w:val="4D565B"/>
                <w:spacing w:val="-12"/>
                <w:w w:val="105"/>
                <w:sz w:val="16"/>
              </w:rPr>
              <w:t> </w:t>
            </w:r>
            <w:r>
              <w:rPr>
                <w:color w:val="4D565B"/>
                <w:w w:val="105"/>
                <w:sz w:val="16"/>
              </w:rPr>
              <w:t>less</w:t>
            </w:r>
            <w:r>
              <w:rPr>
                <w:color w:val="4D565B"/>
                <w:spacing w:val="-11"/>
                <w:w w:val="105"/>
                <w:sz w:val="16"/>
              </w:rPr>
              <w:t> </w:t>
            </w:r>
            <w:r>
              <w:rPr>
                <w:color w:val="4D565B"/>
                <w:w w:val="105"/>
                <w:sz w:val="16"/>
              </w:rPr>
              <w:t>support</w:t>
            </w:r>
            <w:r>
              <w:rPr>
                <w:color w:val="4D565B"/>
                <w:spacing w:val="-12"/>
                <w:w w:val="105"/>
                <w:sz w:val="16"/>
              </w:rPr>
              <w:t> </w:t>
            </w:r>
            <w:r>
              <w:rPr>
                <w:color w:val="4D565B"/>
                <w:w w:val="105"/>
                <w:sz w:val="16"/>
              </w:rPr>
              <w:t>equal to $3,900 per dose[3]</w:t>
            </w:r>
          </w:p>
        </w:tc>
        <w:tc>
          <w:tcPr>
            <w:tcW w:w="2203" w:type="dxa"/>
            <w:tcBorders>
              <w:top w:val="single" w:sz="4" w:space="0" w:color="C8D3BF"/>
              <w:left w:val="single" w:sz="4" w:space="0" w:color="C8D3BF"/>
              <w:bottom w:val="single" w:sz="4" w:space="0" w:color="C8D3BF"/>
              <w:right w:val="single" w:sz="4" w:space="0" w:color="C8D3BF"/>
            </w:tcBorders>
            <w:shd w:val="clear" w:color="auto" w:fill="F6F6F2"/>
          </w:tcPr>
          <w:p>
            <w:pPr>
              <w:pStyle w:val="TableParagraph"/>
              <w:rPr>
                <w:sz w:val="16"/>
              </w:rPr>
            </w:pPr>
            <w:r>
              <w:rPr>
                <w:color w:val="4D565B"/>
                <w:w w:val="105"/>
                <w:sz w:val="16"/>
              </w:rPr>
              <w:t>Consistently</w:t>
            </w:r>
            <w:r>
              <w:rPr>
                <w:color w:val="4D565B"/>
                <w:spacing w:val="-10"/>
                <w:w w:val="105"/>
                <w:sz w:val="16"/>
              </w:rPr>
              <w:t> </w:t>
            </w:r>
            <w:r>
              <w:rPr>
                <w:color w:val="4D565B"/>
                <w:spacing w:val="-2"/>
                <w:w w:val="105"/>
                <w:sz w:val="16"/>
              </w:rPr>
              <w:t>positive[3]</w:t>
            </w:r>
          </w:p>
        </w:tc>
        <w:tc>
          <w:tcPr>
            <w:tcW w:w="3067" w:type="dxa"/>
            <w:tcBorders>
              <w:top w:val="single" w:sz="4" w:space="0" w:color="C8D3BF"/>
              <w:left w:val="single" w:sz="4" w:space="0" w:color="C8D3BF"/>
              <w:bottom w:val="single" w:sz="4" w:space="0" w:color="C8D3BF"/>
              <w:right w:val="single" w:sz="4" w:space="0" w:color="C8D3BF"/>
            </w:tcBorders>
            <w:shd w:val="clear" w:color="auto" w:fill="F6F6F2"/>
          </w:tcPr>
          <w:p>
            <w:pPr>
              <w:pStyle w:val="TableParagraph"/>
              <w:spacing w:line="252" w:lineRule="auto"/>
              <w:ind w:right="513"/>
              <w:jc w:val="both"/>
              <w:rPr>
                <w:sz w:val="16"/>
              </w:rPr>
            </w:pPr>
            <w:r>
              <w:rPr>
                <w:color w:val="4D565B"/>
                <w:w w:val="105"/>
                <w:sz w:val="16"/>
              </w:rPr>
              <w:t>Broadens</w:t>
            </w:r>
            <w:r>
              <w:rPr>
                <w:color w:val="4D565B"/>
                <w:spacing w:val="-12"/>
                <w:w w:val="105"/>
                <w:sz w:val="16"/>
              </w:rPr>
              <w:t> </w:t>
            </w:r>
            <w:r>
              <w:rPr>
                <w:color w:val="4D565B"/>
                <w:w w:val="105"/>
                <w:sz w:val="16"/>
              </w:rPr>
              <w:t>adoption</w:t>
            </w:r>
            <w:r>
              <w:rPr>
                <w:color w:val="4D565B"/>
                <w:spacing w:val="-12"/>
                <w:w w:val="105"/>
                <w:sz w:val="16"/>
              </w:rPr>
              <w:t> </w:t>
            </w:r>
            <w:r>
              <w:rPr>
                <w:color w:val="4D565B"/>
                <w:w w:val="105"/>
                <w:sz w:val="16"/>
              </w:rPr>
              <w:t>beyond</w:t>
            </w:r>
            <w:r>
              <w:rPr>
                <w:color w:val="4D565B"/>
                <w:spacing w:val="-11"/>
                <w:w w:val="105"/>
                <w:sz w:val="16"/>
              </w:rPr>
              <w:t> </w:t>
            </w:r>
            <w:r>
              <w:rPr>
                <w:color w:val="4D565B"/>
                <w:w w:val="105"/>
                <w:sz w:val="16"/>
              </w:rPr>
              <w:t>a</w:t>
            </w:r>
            <w:r>
              <w:rPr>
                <w:color w:val="4D565B"/>
                <w:spacing w:val="-12"/>
                <w:w w:val="105"/>
                <w:sz w:val="16"/>
              </w:rPr>
              <w:t> </w:t>
            </w:r>
            <w:r>
              <w:rPr>
                <w:color w:val="4D565B"/>
                <w:w w:val="105"/>
                <w:sz w:val="16"/>
              </w:rPr>
              <w:t>few high-margin</w:t>
            </w:r>
            <w:r>
              <w:rPr>
                <w:color w:val="4D565B"/>
                <w:spacing w:val="-14"/>
                <w:w w:val="105"/>
                <w:sz w:val="16"/>
              </w:rPr>
              <w:t> </w:t>
            </w:r>
            <w:r>
              <w:rPr>
                <w:color w:val="4D565B"/>
                <w:w w:val="105"/>
                <w:sz w:val="16"/>
              </w:rPr>
              <w:t>centers</w:t>
            </w:r>
            <w:r>
              <w:rPr>
                <w:color w:val="4D565B"/>
                <w:spacing w:val="-12"/>
                <w:w w:val="105"/>
                <w:sz w:val="16"/>
              </w:rPr>
              <w:t> </w:t>
            </w:r>
            <w:r>
              <w:rPr>
                <w:color w:val="4D565B"/>
                <w:w w:val="105"/>
                <w:sz w:val="16"/>
              </w:rPr>
              <w:t>and</w:t>
            </w:r>
            <w:r>
              <w:rPr>
                <w:color w:val="4D565B"/>
                <w:spacing w:val="-11"/>
                <w:w w:val="105"/>
                <w:sz w:val="16"/>
              </w:rPr>
              <w:t> </w:t>
            </w:r>
            <w:r>
              <w:rPr>
                <w:color w:val="4D565B"/>
                <w:w w:val="105"/>
                <w:sz w:val="16"/>
              </w:rPr>
              <w:t>reduces resistance to stocking inventory.</w:t>
            </w:r>
          </w:p>
        </w:tc>
      </w:tr>
      <w:tr>
        <w:trPr>
          <w:trHeight w:val="795" w:hRule="atLeast"/>
        </w:trPr>
        <w:tc>
          <w:tcPr>
            <w:tcW w:w="2045" w:type="dxa"/>
            <w:tcBorders>
              <w:top w:val="single" w:sz="4" w:space="0" w:color="C8D3BF"/>
              <w:left w:val="single" w:sz="4" w:space="0" w:color="C8D3BF"/>
              <w:bottom w:val="single" w:sz="4" w:space="0" w:color="C8D3BF"/>
              <w:right w:val="single" w:sz="4" w:space="0" w:color="C8D3BF"/>
            </w:tcBorders>
            <w:shd w:val="clear" w:color="auto" w:fill="FFFFFF"/>
          </w:tcPr>
          <w:p>
            <w:pPr>
              <w:pStyle w:val="TableParagraph"/>
              <w:spacing w:line="252" w:lineRule="auto"/>
              <w:ind w:right="893"/>
              <w:rPr>
                <w:sz w:val="16"/>
              </w:rPr>
            </w:pPr>
            <w:r>
              <w:rPr>
                <w:color w:val="4D565B"/>
                <w:spacing w:val="-2"/>
                <w:w w:val="105"/>
                <w:sz w:val="16"/>
              </w:rPr>
              <w:t>Commercial white-</w:t>
            </w:r>
            <w:r>
              <w:rPr>
                <w:color w:val="4D565B"/>
                <w:spacing w:val="-2"/>
                <w:w w:val="105"/>
                <w:sz w:val="16"/>
              </w:rPr>
              <w:t>bagging</w:t>
            </w:r>
          </w:p>
        </w:tc>
        <w:tc>
          <w:tcPr>
            <w:tcW w:w="3053" w:type="dxa"/>
            <w:tcBorders>
              <w:top w:val="single" w:sz="4" w:space="0" w:color="C8D3BF"/>
              <w:left w:val="single" w:sz="4" w:space="0" w:color="C8D3BF"/>
              <w:bottom w:val="single" w:sz="4" w:space="0" w:color="C8D3BF"/>
              <w:right w:val="single" w:sz="4" w:space="0" w:color="C8D3BF"/>
            </w:tcBorders>
            <w:shd w:val="clear" w:color="auto" w:fill="FFFFFF"/>
          </w:tcPr>
          <w:p>
            <w:pPr>
              <w:pStyle w:val="TableParagraph"/>
              <w:spacing w:line="252" w:lineRule="auto"/>
              <w:rPr>
                <w:sz w:val="16"/>
              </w:rPr>
            </w:pPr>
            <w:r>
              <w:rPr>
                <w:color w:val="4D565B"/>
                <w:spacing w:val="-2"/>
                <w:w w:val="105"/>
                <w:sz w:val="16"/>
              </w:rPr>
              <w:t>Payer-designated specialty </w:t>
            </w:r>
            <w:r>
              <w:rPr>
                <w:color w:val="4D565B"/>
                <w:spacing w:val="-2"/>
                <w:w w:val="105"/>
                <w:sz w:val="16"/>
              </w:rPr>
              <w:t>pharmacy </w:t>
            </w:r>
            <w:r>
              <w:rPr>
                <w:color w:val="4D565B"/>
                <w:w w:val="105"/>
                <w:sz w:val="16"/>
              </w:rPr>
              <w:t>supplies drug; provider bills administration only[6]</w:t>
            </w:r>
          </w:p>
        </w:tc>
        <w:tc>
          <w:tcPr>
            <w:tcW w:w="2203" w:type="dxa"/>
            <w:tcBorders>
              <w:top w:val="single" w:sz="4" w:space="0" w:color="C8D3BF"/>
              <w:left w:val="single" w:sz="4" w:space="0" w:color="C8D3BF"/>
              <w:bottom w:val="single" w:sz="4" w:space="0" w:color="C8D3BF"/>
              <w:right w:val="single" w:sz="4" w:space="0" w:color="C8D3BF"/>
            </w:tcBorders>
            <w:shd w:val="clear" w:color="auto" w:fill="FFFFFF"/>
          </w:tcPr>
          <w:p>
            <w:pPr>
              <w:pStyle w:val="TableParagraph"/>
              <w:rPr>
                <w:sz w:val="16"/>
              </w:rPr>
            </w:pPr>
            <w:r>
              <w:rPr>
                <w:color w:val="4D565B"/>
                <w:w w:val="105"/>
                <w:sz w:val="16"/>
              </w:rPr>
              <w:t>Drug</w:t>
            </w:r>
            <w:r>
              <w:rPr>
                <w:color w:val="4D565B"/>
                <w:spacing w:val="-6"/>
                <w:w w:val="105"/>
                <w:sz w:val="16"/>
              </w:rPr>
              <w:t> </w:t>
            </w:r>
            <w:r>
              <w:rPr>
                <w:color w:val="4D565B"/>
                <w:w w:val="105"/>
                <w:sz w:val="16"/>
              </w:rPr>
              <w:t>spread</w:t>
            </w:r>
            <w:r>
              <w:rPr>
                <w:color w:val="4D565B"/>
                <w:spacing w:val="-5"/>
                <w:w w:val="105"/>
                <w:sz w:val="16"/>
              </w:rPr>
              <w:t> </w:t>
            </w:r>
            <w:r>
              <w:rPr>
                <w:color w:val="4D565B"/>
                <w:spacing w:val="-2"/>
                <w:w w:val="105"/>
                <w:sz w:val="16"/>
              </w:rPr>
              <w:t>removed[3]</w:t>
            </w:r>
          </w:p>
        </w:tc>
        <w:tc>
          <w:tcPr>
            <w:tcW w:w="3067" w:type="dxa"/>
            <w:tcBorders>
              <w:top w:val="single" w:sz="4" w:space="0" w:color="C8D3BF"/>
              <w:left w:val="single" w:sz="4" w:space="0" w:color="C8D3BF"/>
              <w:bottom w:val="single" w:sz="4" w:space="0" w:color="C8D3BF"/>
              <w:right w:val="single" w:sz="4" w:space="0" w:color="C8D3BF"/>
            </w:tcBorders>
            <w:shd w:val="clear" w:color="auto" w:fill="FFFFFF"/>
          </w:tcPr>
          <w:p>
            <w:pPr>
              <w:pStyle w:val="TableParagraph"/>
              <w:spacing w:line="252" w:lineRule="auto"/>
              <w:rPr>
                <w:sz w:val="16"/>
              </w:rPr>
            </w:pPr>
            <w:r>
              <w:rPr>
                <w:color w:val="4D565B"/>
                <w:w w:val="105"/>
                <w:sz w:val="16"/>
              </w:rPr>
              <w:t>Provider contracting focus shifts from acquisition support to administration economics</w:t>
            </w:r>
            <w:r>
              <w:rPr>
                <w:color w:val="4D565B"/>
                <w:spacing w:val="-14"/>
                <w:w w:val="105"/>
                <w:sz w:val="16"/>
              </w:rPr>
              <w:t> </w:t>
            </w:r>
            <w:r>
              <w:rPr>
                <w:color w:val="4D565B"/>
                <w:w w:val="105"/>
                <w:sz w:val="16"/>
              </w:rPr>
              <w:t>and</w:t>
            </w:r>
            <w:r>
              <w:rPr>
                <w:color w:val="4D565B"/>
                <w:spacing w:val="-12"/>
                <w:w w:val="105"/>
                <w:sz w:val="16"/>
              </w:rPr>
              <w:t> </w:t>
            </w:r>
            <w:r>
              <w:rPr>
                <w:color w:val="4D565B"/>
                <w:w w:val="105"/>
                <w:sz w:val="16"/>
              </w:rPr>
              <w:t>clean-claim</w:t>
            </w:r>
            <w:r>
              <w:rPr>
                <w:color w:val="4D565B"/>
                <w:spacing w:val="-11"/>
                <w:w w:val="105"/>
                <w:sz w:val="16"/>
              </w:rPr>
              <w:t> </w:t>
            </w:r>
            <w:r>
              <w:rPr>
                <w:color w:val="4D565B"/>
                <w:w w:val="105"/>
                <w:sz w:val="16"/>
              </w:rPr>
              <w:t>execution.</w:t>
            </w:r>
          </w:p>
        </w:tc>
      </w:tr>
      <w:tr>
        <w:trPr>
          <w:trHeight w:val="998" w:hRule="atLeast"/>
        </w:trPr>
        <w:tc>
          <w:tcPr>
            <w:tcW w:w="2045" w:type="dxa"/>
            <w:tcBorders>
              <w:top w:val="single" w:sz="4" w:space="0" w:color="C8D3BF"/>
              <w:left w:val="single" w:sz="4" w:space="0" w:color="C8D3BF"/>
              <w:bottom w:val="single" w:sz="4" w:space="0" w:color="C8D3BF"/>
              <w:right w:val="single" w:sz="4" w:space="0" w:color="C8D3BF"/>
            </w:tcBorders>
            <w:shd w:val="clear" w:color="auto" w:fill="F6F6F2"/>
          </w:tcPr>
          <w:p>
            <w:pPr>
              <w:pStyle w:val="TableParagraph"/>
              <w:rPr>
                <w:sz w:val="16"/>
              </w:rPr>
            </w:pPr>
            <w:r>
              <w:rPr>
                <w:color w:val="4D565B"/>
                <w:w w:val="105"/>
                <w:sz w:val="16"/>
              </w:rPr>
              <w:t>Medicaid</w:t>
            </w:r>
            <w:r>
              <w:rPr>
                <w:color w:val="4D565B"/>
                <w:spacing w:val="-11"/>
                <w:w w:val="105"/>
                <w:sz w:val="16"/>
              </w:rPr>
              <w:t> </w:t>
            </w:r>
            <w:r>
              <w:rPr>
                <w:color w:val="4D565B"/>
                <w:w w:val="105"/>
                <w:sz w:val="16"/>
              </w:rPr>
              <w:t>non-</w:t>
            </w:r>
            <w:r>
              <w:rPr>
                <w:color w:val="4D565B"/>
                <w:spacing w:val="-4"/>
                <w:w w:val="105"/>
                <w:sz w:val="16"/>
              </w:rPr>
              <w:t>340B</w:t>
            </w:r>
          </w:p>
        </w:tc>
        <w:tc>
          <w:tcPr>
            <w:tcW w:w="3053" w:type="dxa"/>
            <w:tcBorders>
              <w:top w:val="single" w:sz="4" w:space="0" w:color="C8D3BF"/>
              <w:left w:val="single" w:sz="4" w:space="0" w:color="C8D3BF"/>
              <w:bottom w:val="single" w:sz="4" w:space="0" w:color="C8D3BF"/>
              <w:right w:val="single" w:sz="4" w:space="0" w:color="C8D3BF"/>
            </w:tcBorders>
            <w:shd w:val="clear" w:color="auto" w:fill="F6F6F2"/>
          </w:tcPr>
          <w:p>
            <w:pPr>
              <w:pStyle w:val="TableParagraph"/>
              <w:spacing w:line="252" w:lineRule="auto"/>
              <w:ind w:right="277"/>
              <w:jc w:val="both"/>
              <w:rPr>
                <w:sz w:val="16"/>
              </w:rPr>
            </w:pPr>
            <w:r>
              <w:rPr>
                <w:color w:val="4D565B"/>
                <w:w w:val="105"/>
                <w:sz w:val="16"/>
              </w:rPr>
              <w:t>Coverage</w:t>
            </w:r>
            <w:r>
              <w:rPr>
                <w:color w:val="4D565B"/>
                <w:spacing w:val="-12"/>
                <w:w w:val="105"/>
                <w:sz w:val="16"/>
              </w:rPr>
              <w:t> </w:t>
            </w:r>
            <w:r>
              <w:rPr>
                <w:color w:val="4D565B"/>
                <w:w w:val="105"/>
                <w:sz w:val="16"/>
              </w:rPr>
              <w:t>supported</w:t>
            </w:r>
            <w:r>
              <w:rPr>
                <w:color w:val="4D565B"/>
                <w:spacing w:val="-12"/>
                <w:w w:val="105"/>
                <w:sz w:val="16"/>
              </w:rPr>
              <w:t> </w:t>
            </w:r>
            <w:r>
              <w:rPr>
                <w:color w:val="4D565B"/>
                <w:w w:val="105"/>
                <w:sz w:val="16"/>
              </w:rPr>
              <w:t>by</w:t>
            </w:r>
            <w:r>
              <w:rPr>
                <w:color w:val="4D565B"/>
                <w:spacing w:val="-11"/>
                <w:w w:val="105"/>
                <w:sz w:val="16"/>
              </w:rPr>
              <w:t> </w:t>
            </w:r>
            <w:r>
              <w:rPr>
                <w:color w:val="4D565B"/>
                <w:w w:val="105"/>
                <w:sz w:val="16"/>
              </w:rPr>
              <w:t>EPSDT,</w:t>
            </w:r>
            <w:r>
              <w:rPr>
                <w:color w:val="4D565B"/>
                <w:spacing w:val="-12"/>
                <w:w w:val="105"/>
                <w:sz w:val="16"/>
              </w:rPr>
              <w:t> </w:t>
            </w:r>
            <w:r>
              <w:rPr>
                <w:color w:val="4D565B"/>
                <w:w w:val="105"/>
                <w:sz w:val="16"/>
              </w:rPr>
              <w:t>but payment</w:t>
            </w:r>
            <w:r>
              <w:rPr>
                <w:color w:val="4D565B"/>
                <w:spacing w:val="-8"/>
                <w:w w:val="105"/>
                <w:sz w:val="16"/>
              </w:rPr>
              <w:t> </w:t>
            </w:r>
            <w:r>
              <w:rPr>
                <w:color w:val="4D565B"/>
                <w:w w:val="105"/>
                <w:sz w:val="16"/>
              </w:rPr>
              <w:t>depends</w:t>
            </w:r>
            <w:r>
              <w:rPr>
                <w:color w:val="4D565B"/>
                <w:spacing w:val="-8"/>
                <w:w w:val="105"/>
                <w:sz w:val="16"/>
              </w:rPr>
              <w:t> </w:t>
            </w:r>
            <w:r>
              <w:rPr>
                <w:color w:val="4D565B"/>
                <w:w w:val="105"/>
                <w:sz w:val="16"/>
              </w:rPr>
              <w:t>on</w:t>
            </w:r>
            <w:r>
              <w:rPr>
                <w:color w:val="4D565B"/>
                <w:spacing w:val="-8"/>
                <w:w w:val="105"/>
                <w:sz w:val="16"/>
              </w:rPr>
              <w:t> </w:t>
            </w:r>
            <w:r>
              <w:rPr>
                <w:color w:val="4D565B"/>
                <w:w w:val="105"/>
                <w:sz w:val="16"/>
              </w:rPr>
              <w:t>PAD</w:t>
            </w:r>
            <w:r>
              <w:rPr>
                <w:color w:val="4D565B"/>
                <w:spacing w:val="-8"/>
                <w:w w:val="105"/>
                <w:sz w:val="16"/>
              </w:rPr>
              <w:t> </w:t>
            </w:r>
            <w:r>
              <w:rPr>
                <w:color w:val="4D565B"/>
                <w:w w:val="105"/>
                <w:sz w:val="16"/>
              </w:rPr>
              <w:t>data</w:t>
            </w:r>
            <w:r>
              <w:rPr>
                <w:color w:val="4D565B"/>
                <w:spacing w:val="-8"/>
                <w:w w:val="105"/>
                <w:sz w:val="16"/>
              </w:rPr>
              <w:t> </w:t>
            </w:r>
            <w:r>
              <w:rPr>
                <w:color w:val="4D565B"/>
                <w:w w:val="105"/>
                <w:sz w:val="16"/>
              </w:rPr>
              <w:t>and state methodology[10][11]</w:t>
            </w:r>
          </w:p>
        </w:tc>
        <w:tc>
          <w:tcPr>
            <w:tcW w:w="2203" w:type="dxa"/>
            <w:tcBorders>
              <w:top w:val="single" w:sz="4" w:space="0" w:color="C8D3BF"/>
              <w:left w:val="single" w:sz="4" w:space="0" w:color="C8D3BF"/>
              <w:bottom w:val="single" w:sz="4" w:space="0" w:color="C8D3BF"/>
              <w:right w:val="single" w:sz="4" w:space="0" w:color="C8D3BF"/>
            </w:tcBorders>
            <w:shd w:val="clear" w:color="auto" w:fill="F6F6F2"/>
          </w:tcPr>
          <w:p>
            <w:pPr>
              <w:pStyle w:val="TableParagraph"/>
              <w:rPr>
                <w:sz w:val="16"/>
              </w:rPr>
            </w:pPr>
            <w:r>
              <w:rPr>
                <w:color w:val="4D565B"/>
                <w:w w:val="105"/>
                <w:sz w:val="16"/>
              </w:rPr>
              <w:t>Loss</w:t>
            </w:r>
            <w:r>
              <w:rPr>
                <w:color w:val="4D565B"/>
                <w:spacing w:val="-6"/>
                <w:w w:val="105"/>
                <w:sz w:val="16"/>
              </w:rPr>
              <w:t> </w:t>
            </w:r>
            <w:r>
              <w:rPr>
                <w:color w:val="4D565B"/>
                <w:w w:val="105"/>
                <w:sz w:val="16"/>
              </w:rPr>
              <w:t>exceeds</w:t>
            </w:r>
            <w:r>
              <w:rPr>
                <w:color w:val="4D565B"/>
                <w:spacing w:val="-6"/>
                <w:w w:val="105"/>
                <w:sz w:val="16"/>
              </w:rPr>
              <w:t> </w:t>
            </w:r>
            <w:r>
              <w:rPr>
                <w:color w:val="4D565B"/>
                <w:spacing w:val="-2"/>
                <w:w w:val="105"/>
                <w:sz w:val="16"/>
              </w:rPr>
              <w:t>roughly</w:t>
            </w:r>
          </w:p>
          <w:p>
            <w:pPr>
              <w:pStyle w:val="TableParagraph"/>
              <w:spacing w:line="252" w:lineRule="auto" w:before="10"/>
              <w:ind w:right="160"/>
              <w:rPr>
                <w:sz w:val="16"/>
              </w:rPr>
            </w:pPr>
            <w:r>
              <w:rPr>
                <w:color w:val="4D565B"/>
                <w:w w:val="105"/>
                <w:sz w:val="16"/>
              </w:rPr>
              <w:t>$2,600</w:t>
            </w:r>
            <w:r>
              <w:rPr>
                <w:color w:val="4D565B"/>
                <w:spacing w:val="-12"/>
                <w:w w:val="105"/>
                <w:sz w:val="16"/>
              </w:rPr>
              <w:t> </w:t>
            </w:r>
            <w:r>
              <w:rPr>
                <w:color w:val="4D565B"/>
                <w:w w:val="105"/>
                <w:sz w:val="16"/>
              </w:rPr>
              <w:t>per</w:t>
            </w:r>
            <w:r>
              <w:rPr>
                <w:color w:val="4D565B"/>
                <w:spacing w:val="-12"/>
                <w:w w:val="105"/>
                <w:sz w:val="16"/>
              </w:rPr>
              <w:t> </w:t>
            </w:r>
            <w:r>
              <w:rPr>
                <w:color w:val="4D565B"/>
                <w:w w:val="105"/>
                <w:sz w:val="16"/>
              </w:rPr>
              <w:t>administration; nearly -$70,000 per </w:t>
            </w:r>
            <w:r>
              <w:rPr>
                <w:color w:val="4D565B"/>
                <w:spacing w:val="-2"/>
                <w:w w:val="105"/>
                <w:sz w:val="16"/>
              </w:rPr>
              <w:t>patient-year[3]</w:t>
            </w:r>
          </w:p>
        </w:tc>
        <w:tc>
          <w:tcPr>
            <w:tcW w:w="3067" w:type="dxa"/>
            <w:tcBorders>
              <w:top w:val="single" w:sz="4" w:space="0" w:color="C8D3BF"/>
              <w:left w:val="single" w:sz="4" w:space="0" w:color="C8D3BF"/>
              <w:bottom w:val="single" w:sz="4" w:space="0" w:color="C8D3BF"/>
              <w:right w:val="single" w:sz="4" w:space="0" w:color="C8D3BF"/>
            </w:tcBorders>
            <w:shd w:val="clear" w:color="auto" w:fill="F6F6F2"/>
          </w:tcPr>
          <w:p>
            <w:pPr>
              <w:pStyle w:val="TableParagraph"/>
              <w:spacing w:line="252" w:lineRule="auto"/>
              <w:rPr>
                <w:sz w:val="16"/>
              </w:rPr>
            </w:pPr>
            <w:r>
              <w:rPr>
                <w:color w:val="4D565B"/>
                <w:w w:val="105"/>
                <w:sz w:val="16"/>
              </w:rPr>
              <w:t>Community-site participation remains weak</w:t>
            </w:r>
            <w:r>
              <w:rPr>
                <w:color w:val="4D565B"/>
                <w:spacing w:val="-12"/>
                <w:w w:val="105"/>
                <w:sz w:val="16"/>
              </w:rPr>
              <w:t> </w:t>
            </w:r>
            <w:r>
              <w:rPr>
                <w:color w:val="4D565B"/>
                <w:w w:val="105"/>
                <w:sz w:val="16"/>
              </w:rPr>
              <w:t>without</w:t>
            </w:r>
            <w:r>
              <w:rPr>
                <w:color w:val="4D565B"/>
                <w:spacing w:val="-11"/>
                <w:w w:val="105"/>
                <w:sz w:val="16"/>
              </w:rPr>
              <w:t> </w:t>
            </w:r>
            <w:r>
              <w:rPr>
                <w:color w:val="4D565B"/>
                <w:w w:val="105"/>
                <w:sz w:val="16"/>
              </w:rPr>
              <w:t>a</w:t>
            </w:r>
            <w:r>
              <w:rPr>
                <w:color w:val="4D565B"/>
                <w:spacing w:val="-12"/>
                <w:w w:val="105"/>
                <w:sz w:val="16"/>
              </w:rPr>
              <w:t> </w:t>
            </w:r>
            <w:r>
              <w:rPr>
                <w:color w:val="4D565B"/>
                <w:w w:val="105"/>
                <w:sz w:val="16"/>
              </w:rPr>
              <w:t>stronger</w:t>
            </w:r>
            <w:r>
              <w:rPr>
                <w:color w:val="4D565B"/>
                <w:spacing w:val="-11"/>
                <w:w w:val="105"/>
                <w:sz w:val="16"/>
              </w:rPr>
              <w:t> </w:t>
            </w:r>
            <w:r>
              <w:rPr>
                <w:color w:val="4D565B"/>
                <w:w w:val="105"/>
                <w:sz w:val="16"/>
              </w:rPr>
              <w:t>payment</w:t>
            </w:r>
            <w:r>
              <w:rPr>
                <w:color w:val="4D565B"/>
                <w:spacing w:val="-12"/>
                <w:w w:val="105"/>
                <w:sz w:val="16"/>
              </w:rPr>
              <w:t> </w:t>
            </w:r>
            <w:r>
              <w:rPr>
                <w:color w:val="4D565B"/>
                <w:w w:val="105"/>
                <w:sz w:val="16"/>
              </w:rPr>
              <w:t>path.</w:t>
            </w:r>
          </w:p>
        </w:tc>
      </w:tr>
      <w:tr>
        <w:trPr>
          <w:trHeight w:val="796" w:hRule="atLeast"/>
        </w:trPr>
        <w:tc>
          <w:tcPr>
            <w:tcW w:w="2045" w:type="dxa"/>
            <w:tcBorders>
              <w:top w:val="single" w:sz="4" w:space="0" w:color="C8D3BF"/>
              <w:left w:val="single" w:sz="4" w:space="0" w:color="C8D3BF"/>
              <w:bottom w:val="single" w:sz="4" w:space="0" w:color="C8D3BF"/>
              <w:right w:val="single" w:sz="4" w:space="0" w:color="C8D3BF"/>
            </w:tcBorders>
            <w:shd w:val="clear" w:color="auto" w:fill="FFFFFF"/>
          </w:tcPr>
          <w:p>
            <w:pPr>
              <w:pStyle w:val="TableParagraph"/>
              <w:spacing w:line="252" w:lineRule="auto"/>
              <w:ind w:right="113"/>
              <w:rPr>
                <w:sz w:val="16"/>
              </w:rPr>
            </w:pPr>
            <w:r>
              <w:rPr>
                <w:color w:val="4D565B"/>
                <w:w w:val="105"/>
                <w:sz w:val="16"/>
              </w:rPr>
              <w:t>340B</w:t>
            </w:r>
            <w:r>
              <w:rPr>
                <w:color w:val="4D565B"/>
                <w:spacing w:val="-12"/>
                <w:w w:val="105"/>
                <w:sz w:val="16"/>
              </w:rPr>
              <w:t> </w:t>
            </w:r>
            <w:r>
              <w:rPr>
                <w:color w:val="4D565B"/>
                <w:w w:val="105"/>
                <w:sz w:val="16"/>
              </w:rPr>
              <w:t>center</w:t>
            </w:r>
            <w:r>
              <w:rPr>
                <w:color w:val="4D565B"/>
                <w:spacing w:val="-12"/>
                <w:w w:val="105"/>
                <w:sz w:val="16"/>
              </w:rPr>
              <w:t> </w:t>
            </w:r>
            <w:r>
              <w:rPr>
                <w:color w:val="4D565B"/>
                <w:w w:val="105"/>
                <w:sz w:val="16"/>
              </w:rPr>
              <w:t>of </w:t>
            </w:r>
            <w:r>
              <w:rPr>
                <w:color w:val="4D565B"/>
                <w:spacing w:val="-2"/>
                <w:w w:val="105"/>
                <w:sz w:val="16"/>
              </w:rPr>
              <w:t>excellence</w:t>
            </w:r>
          </w:p>
        </w:tc>
        <w:tc>
          <w:tcPr>
            <w:tcW w:w="3053" w:type="dxa"/>
            <w:tcBorders>
              <w:top w:val="single" w:sz="4" w:space="0" w:color="C8D3BF"/>
              <w:left w:val="single" w:sz="4" w:space="0" w:color="C8D3BF"/>
              <w:bottom w:val="single" w:sz="4" w:space="0" w:color="C8D3BF"/>
              <w:right w:val="single" w:sz="4" w:space="0" w:color="C8D3BF"/>
            </w:tcBorders>
            <w:shd w:val="clear" w:color="auto" w:fill="FFFFFF"/>
          </w:tcPr>
          <w:p>
            <w:pPr>
              <w:pStyle w:val="TableParagraph"/>
              <w:spacing w:line="252" w:lineRule="auto"/>
              <w:ind w:right="240"/>
              <w:rPr>
                <w:sz w:val="16"/>
              </w:rPr>
            </w:pPr>
            <w:r>
              <w:rPr>
                <w:color w:val="4D565B"/>
                <w:w w:val="105"/>
                <w:sz w:val="16"/>
              </w:rPr>
              <w:t>Estimated acquisition at $29,991 under</w:t>
            </w:r>
            <w:r>
              <w:rPr>
                <w:color w:val="4D565B"/>
                <w:spacing w:val="-14"/>
                <w:w w:val="105"/>
                <w:sz w:val="16"/>
              </w:rPr>
              <w:t> </w:t>
            </w:r>
            <w:r>
              <w:rPr>
                <w:color w:val="4D565B"/>
                <w:w w:val="105"/>
                <w:sz w:val="16"/>
              </w:rPr>
              <w:t>23.1%</w:t>
            </w:r>
            <w:r>
              <w:rPr>
                <w:color w:val="4D565B"/>
                <w:spacing w:val="-12"/>
                <w:w w:val="105"/>
                <w:sz w:val="16"/>
              </w:rPr>
              <w:t> </w:t>
            </w:r>
            <w:r>
              <w:rPr>
                <w:color w:val="4D565B"/>
                <w:w w:val="105"/>
                <w:sz w:val="16"/>
              </w:rPr>
              <w:t>URA</w:t>
            </w:r>
            <w:r>
              <w:rPr>
                <w:color w:val="4D565B"/>
                <w:spacing w:val="-11"/>
                <w:w w:val="105"/>
                <w:sz w:val="16"/>
              </w:rPr>
              <w:t> </w:t>
            </w:r>
            <w:r>
              <w:rPr>
                <w:color w:val="4D565B"/>
                <w:w w:val="105"/>
                <w:sz w:val="16"/>
              </w:rPr>
              <w:t>assumption[8][9]</w:t>
            </w:r>
          </w:p>
        </w:tc>
        <w:tc>
          <w:tcPr>
            <w:tcW w:w="2203" w:type="dxa"/>
            <w:tcBorders>
              <w:top w:val="single" w:sz="4" w:space="0" w:color="C8D3BF"/>
              <w:left w:val="single" w:sz="4" w:space="0" w:color="C8D3BF"/>
              <w:bottom w:val="single" w:sz="4" w:space="0" w:color="C8D3BF"/>
              <w:right w:val="single" w:sz="4" w:space="0" w:color="C8D3BF"/>
            </w:tcBorders>
            <w:shd w:val="clear" w:color="auto" w:fill="FFFFFF"/>
          </w:tcPr>
          <w:p>
            <w:pPr>
              <w:pStyle w:val="TableParagraph"/>
              <w:spacing w:line="252" w:lineRule="auto"/>
              <w:ind w:right="202"/>
              <w:rPr>
                <w:sz w:val="16"/>
              </w:rPr>
            </w:pPr>
            <w:r>
              <w:rPr>
                <w:color w:val="4D565B"/>
                <w:w w:val="105"/>
                <w:sz w:val="16"/>
              </w:rPr>
              <w:t>More than $9,000 per administration;</w:t>
            </w:r>
            <w:r>
              <w:rPr>
                <w:color w:val="4D565B"/>
                <w:spacing w:val="-12"/>
                <w:w w:val="105"/>
                <w:sz w:val="16"/>
              </w:rPr>
              <w:t> </w:t>
            </w:r>
            <w:r>
              <w:rPr>
                <w:color w:val="4D565B"/>
                <w:w w:val="105"/>
                <w:sz w:val="16"/>
              </w:rPr>
              <w:t>more</w:t>
            </w:r>
            <w:r>
              <w:rPr>
                <w:color w:val="4D565B"/>
                <w:spacing w:val="-12"/>
                <w:w w:val="105"/>
                <w:sz w:val="16"/>
              </w:rPr>
              <w:t> </w:t>
            </w:r>
            <w:r>
              <w:rPr>
                <w:color w:val="4D565B"/>
                <w:w w:val="105"/>
                <w:sz w:val="16"/>
              </w:rPr>
              <w:t>than</w:t>
            </w:r>
          </w:p>
          <w:p>
            <w:pPr>
              <w:pStyle w:val="TableParagraph"/>
              <w:spacing w:before="1"/>
              <w:rPr>
                <w:sz w:val="16"/>
              </w:rPr>
            </w:pPr>
            <w:r>
              <w:rPr>
                <w:color w:val="4D565B"/>
                <w:w w:val="105"/>
                <w:sz w:val="16"/>
              </w:rPr>
              <w:t>$235,000</w:t>
            </w:r>
            <w:r>
              <w:rPr>
                <w:color w:val="4D565B"/>
                <w:spacing w:val="-6"/>
                <w:w w:val="105"/>
                <w:sz w:val="16"/>
              </w:rPr>
              <w:t> </w:t>
            </w:r>
            <w:r>
              <w:rPr>
                <w:color w:val="4D565B"/>
                <w:w w:val="105"/>
                <w:sz w:val="16"/>
              </w:rPr>
              <w:t>per</w:t>
            </w:r>
            <w:r>
              <w:rPr>
                <w:color w:val="4D565B"/>
                <w:spacing w:val="-6"/>
                <w:w w:val="105"/>
                <w:sz w:val="16"/>
              </w:rPr>
              <w:t> </w:t>
            </w:r>
            <w:r>
              <w:rPr>
                <w:color w:val="4D565B"/>
                <w:spacing w:val="-2"/>
                <w:w w:val="105"/>
                <w:sz w:val="16"/>
              </w:rPr>
              <w:t>year[3]</w:t>
            </w:r>
          </w:p>
        </w:tc>
        <w:tc>
          <w:tcPr>
            <w:tcW w:w="3067" w:type="dxa"/>
            <w:tcBorders>
              <w:top w:val="single" w:sz="4" w:space="0" w:color="C8D3BF"/>
              <w:left w:val="single" w:sz="4" w:space="0" w:color="C8D3BF"/>
              <w:bottom w:val="single" w:sz="4" w:space="0" w:color="C8D3BF"/>
              <w:right w:val="single" w:sz="4" w:space="0" w:color="C8D3BF"/>
            </w:tcBorders>
            <w:shd w:val="clear" w:color="auto" w:fill="FFFFFF"/>
          </w:tcPr>
          <w:p>
            <w:pPr>
              <w:pStyle w:val="TableParagraph"/>
              <w:spacing w:line="252" w:lineRule="auto"/>
              <w:ind w:right="167"/>
              <w:rPr>
                <w:sz w:val="16"/>
              </w:rPr>
            </w:pPr>
            <w:r>
              <w:rPr>
                <w:color w:val="4D565B"/>
                <w:w w:val="105"/>
                <w:sz w:val="16"/>
              </w:rPr>
              <w:t>Creates</w:t>
            </w:r>
            <w:r>
              <w:rPr>
                <w:color w:val="4D565B"/>
                <w:spacing w:val="-12"/>
                <w:w w:val="105"/>
                <w:sz w:val="16"/>
              </w:rPr>
              <w:t> </w:t>
            </w:r>
            <w:r>
              <w:rPr>
                <w:color w:val="4D565B"/>
                <w:w w:val="105"/>
                <w:sz w:val="16"/>
              </w:rPr>
              <w:t>a</w:t>
            </w:r>
            <w:r>
              <w:rPr>
                <w:color w:val="4D565B"/>
                <w:spacing w:val="-12"/>
                <w:w w:val="105"/>
                <w:sz w:val="16"/>
              </w:rPr>
              <w:t> </w:t>
            </w:r>
            <w:r>
              <w:rPr>
                <w:color w:val="4D565B"/>
                <w:w w:val="105"/>
                <w:sz w:val="16"/>
              </w:rPr>
              <w:t>strong</w:t>
            </w:r>
            <w:r>
              <w:rPr>
                <w:color w:val="4D565B"/>
                <w:spacing w:val="-11"/>
                <w:w w:val="105"/>
                <w:sz w:val="16"/>
              </w:rPr>
              <w:t> </w:t>
            </w:r>
            <w:r>
              <w:rPr>
                <w:color w:val="4D565B"/>
                <w:w w:val="105"/>
                <w:sz w:val="16"/>
              </w:rPr>
              <w:t>economic</w:t>
            </w:r>
            <w:r>
              <w:rPr>
                <w:color w:val="4D565B"/>
                <w:spacing w:val="-12"/>
                <w:w w:val="105"/>
                <w:sz w:val="16"/>
              </w:rPr>
              <w:t> </w:t>
            </w:r>
            <w:r>
              <w:rPr>
                <w:color w:val="4D565B"/>
                <w:w w:val="105"/>
                <w:sz w:val="16"/>
              </w:rPr>
              <w:t>incentive to concentrate launch in eligible hospital systems.</w:t>
            </w:r>
          </w:p>
        </w:tc>
      </w:tr>
    </w:tbl>
    <w:p>
      <w:pPr>
        <w:spacing w:line="249" w:lineRule="auto" w:before="156"/>
        <w:ind w:left="436" w:right="521" w:firstLine="0"/>
        <w:jc w:val="left"/>
        <w:rPr>
          <w:i/>
          <w:sz w:val="16"/>
        </w:rPr>
      </w:pPr>
      <w:r>
        <w:rPr>
          <w:i/>
          <w:color w:val="6E7579"/>
          <w:sz w:val="16"/>
        </w:rPr>
        <w:t>These scenario rows are intentionally provider-centered. They are not manufacturer net-revenue rows. They show what a center experiences when it decides whether to buy, bill, and administer a high-cost therapy. That is the level at which site activation succeeds or fails. [3]</w:t>
      </w:r>
    </w:p>
    <w:p>
      <w:pPr>
        <w:pStyle w:val="BodyText"/>
        <w:spacing w:before="47"/>
        <w:rPr>
          <w:i/>
          <w:sz w:val="16"/>
        </w:rPr>
      </w:pPr>
    </w:p>
    <w:p>
      <w:pPr>
        <w:pStyle w:val="Heading2"/>
      </w:pPr>
      <w:r>
        <w:rPr>
          <w:color w:val="5B8C2B"/>
        </w:rPr>
        <w:t>How</w:t>
      </w:r>
      <w:r>
        <w:rPr>
          <w:color w:val="5B8C2B"/>
          <w:spacing w:val="-5"/>
        </w:rPr>
        <w:t> </w:t>
      </w:r>
      <w:r>
        <w:rPr>
          <w:color w:val="5B8C2B"/>
        </w:rPr>
        <w:t>it</w:t>
      </w:r>
      <w:r>
        <w:rPr>
          <w:color w:val="5B8C2B"/>
          <w:spacing w:val="-5"/>
        </w:rPr>
        <w:t> </w:t>
      </w:r>
      <w:r>
        <w:rPr>
          <w:color w:val="5B8C2B"/>
        </w:rPr>
        <w:t>will</w:t>
      </w:r>
      <w:r>
        <w:rPr>
          <w:color w:val="5B8C2B"/>
          <w:spacing w:val="-4"/>
        </w:rPr>
        <w:t> work</w:t>
      </w:r>
    </w:p>
    <w:p>
      <w:pPr>
        <w:pStyle w:val="BodyText"/>
        <w:spacing w:line="283" w:lineRule="auto" w:before="126"/>
        <w:ind w:left="436" w:right="521"/>
      </w:pPr>
      <w:r>
        <w:rPr>
          <w:color w:val="4D565B"/>
        </w:rPr>
        <w:t>The calculator will use one consistent operating formula across channels: expected provider net position = drug payment + administration revenue + provider-facing manufacturer support - drug acquisition - labor and handling - denial and rework cost - carrying cost from payment delay. The same framework can then be applied to commercial, Medicaid, 340B, and hospital outpatient scenarios with different assumptions. [3][12]</w:t>
      </w:r>
    </w:p>
    <w:p>
      <w:pPr>
        <w:pStyle w:val="BodyText"/>
        <w:spacing w:line="283" w:lineRule="auto" w:before="143"/>
        <w:ind w:left="436" w:right="433"/>
      </w:pPr>
      <w:r>
        <w:rPr>
          <w:color w:val="4D565B"/>
        </w:rPr>
        <w:t>For the federal benchmark layer, the model will anchor physician-office payment to CMS's initial sales period rule. CMS states that when ASP is not yet available, the Medicare Part B payment limit is 103% of WAC. On the current working WAC, that equals $40,170 per dose. For hospital outpatient miscellaneous-code billing, CMS states that C9399 supports contractor-priced payment at 95% of AWP while a drug lacks an assigned billing code. Those public rules define the opening payment frame for Medicare-linked scenarios and set a benchmark for provider </w:t>
      </w:r>
      <w:r>
        <w:rPr>
          <w:color w:val="4D565B"/>
        </w:rPr>
        <w:t>expectations in commercial negotiations. [12][15]</w:t>
      </w:r>
    </w:p>
    <w:p>
      <w:pPr>
        <w:pStyle w:val="BodyText"/>
        <w:spacing w:line="283" w:lineRule="auto" w:before="145"/>
        <w:ind w:left="436" w:right="541"/>
      </w:pPr>
      <w:r>
        <w:rPr>
          <w:color w:val="4D565B"/>
        </w:rPr>
        <w:t>For the Medicaid layer, the model will treat EPSDT as a coverage tailwind and PAD data capture as a payment gate. Medicaid states that EPSDT requires states to furnish medically necessary services needed to correct or ameliorate conditions in beneficiaries under age 21. Medicaid also states that payment availability and federal matching funds</w:t>
      </w:r>
      <w:r>
        <w:rPr>
          <w:color w:val="4D565B"/>
          <w:spacing w:val="80"/>
        </w:rPr>
        <w:t> </w:t>
      </w:r>
      <w:r>
        <w:rPr>
          <w:color w:val="4D565B"/>
        </w:rPr>
        <w:t>for physician-administered drugs depend on states collecting and submitting utilization data and, for defined categories, NDC coding. In practical terms, a pediatric adrabetadex claim can still fail economically even when medical necessity is strong if coding and data capture are incomplete. [10][11]</w:t>
      </w:r>
    </w:p>
    <w:p>
      <w:pPr>
        <w:pStyle w:val="BodyText"/>
        <w:spacing w:line="283" w:lineRule="auto" w:before="145"/>
        <w:ind w:left="436" w:right="521"/>
      </w:pPr>
      <w:r>
        <w:rPr>
          <w:color w:val="4D565B"/>
        </w:rPr>
        <w:t>For the 340B layer, the model will separate acquisition advantage from reimbursement. HRSA states that the 340B ceiling price equals AMP minus the URA. For a new drug before AMP is available, HRSA directs manufacturers to estimate price using WAC minus the applicable rebate percentage. On the current assumptions, the estimated 340B acquisition price is $29,991 at a 23.1% URA and about $32,331 at a 17.1% pediatric-brand URA. That creates a</w:t>
      </w:r>
    </w:p>
    <w:p>
      <w:pPr>
        <w:pStyle w:val="BodyText"/>
        <w:spacing w:before="3"/>
        <w:ind w:left="436"/>
      </w:pPr>
      <w:r>
        <w:rPr>
          <w:color w:val="4D565B"/>
        </w:rPr>
        <w:t>per-dose</w:t>
      </w:r>
      <w:r>
        <w:rPr>
          <w:color w:val="4D565B"/>
          <w:spacing w:val="4"/>
        </w:rPr>
        <w:t> </w:t>
      </w:r>
      <w:r>
        <w:rPr>
          <w:color w:val="4D565B"/>
        </w:rPr>
        <w:t>acquisition</w:t>
      </w:r>
      <w:r>
        <w:rPr>
          <w:color w:val="4D565B"/>
          <w:spacing w:val="5"/>
        </w:rPr>
        <w:t> </w:t>
      </w:r>
      <w:r>
        <w:rPr>
          <w:color w:val="4D565B"/>
        </w:rPr>
        <w:t>advantage</w:t>
      </w:r>
      <w:r>
        <w:rPr>
          <w:color w:val="4D565B"/>
          <w:spacing w:val="5"/>
        </w:rPr>
        <w:t> </w:t>
      </w:r>
      <w:r>
        <w:rPr>
          <w:color w:val="4D565B"/>
        </w:rPr>
        <w:t>of</w:t>
      </w:r>
      <w:r>
        <w:rPr>
          <w:color w:val="4D565B"/>
          <w:spacing w:val="4"/>
        </w:rPr>
        <w:t> </w:t>
      </w:r>
      <w:r>
        <w:rPr>
          <w:color w:val="4D565B"/>
        </w:rPr>
        <w:t>roughly</w:t>
      </w:r>
      <w:r>
        <w:rPr>
          <w:color w:val="4D565B"/>
          <w:spacing w:val="5"/>
        </w:rPr>
        <w:t> </w:t>
      </w:r>
      <w:r>
        <w:rPr>
          <w:color w:val="4D565B"/>
        </w:rPr>
        <w:t>$6,669</w:t>
      </w:r>
      <w:r>
        <w:rPr>
          <w:color w:val="4D565B"/>
          <w:spacing w:val="5"/>
        </w:rPr>
        <w:t> </w:t>
      </w:r>
      <w:r>
        <w:rPr>
          <w:color w:val="4D565B"/>
        </w:rPr>
        <w:t>to</w:t>
      </w:r>
      <w:r>
        <w:rPr>
          <w:color w:val="4D565B"/>
          <w:spacing w:val="5"/>
        </w:rPr>
        <w:t> </w:t>
      </w:r>
      <w:r>
        <w:rPr>
          <w:color w:val="4D565B"/>
        </w:rPr>
        <w:t>$9,009</w:t>
      </w:r>
      <w:r>
        <w:rPr>
          <w:color w:val="4D565B"/>
          <w:spacing w:val="4"/>
        </w:rPr>
        <w:t> </w:t>
      </w:r>
      <w:r>
        <w:rPr>
          <w:color w:val="4D565B"/>
        </w:rPr>
        <w:t>versus</w:t>
      </w:r>
      <w:r>
        <w:rPr>
          <w:color w:val="4D565B"/>
          <w:spacing w:val="5"/>
        </w:rPr>
        <w:t> </w:t>
      </w:r>
      <w:r>
        <w:rPr>
          <w:color w:val="4D565B"/>
        </w:rPr>
        <w:t>WAC,</w:t>
      </w:r>
      <w:r>
        <w:rPr>
          <w:color w:val="4D565B"/>
          <w:spacing w:val="5"/>
        </w:rPr>
        <w:t> </w:t>
      </w:r>
      <w:r>
        <w:rPr>
          <w:color w:val="4D565B"/>
        </w:rPr>
        <w:t>but</w:t>
      </w:r>
      <w:r>
        <w:rPr>
          <w:color w:val="4D565B"/>
          <w:spacing w:val="4"/>
        </w:rPr>
        <w:t> </w:t>
      </w:r>
      <w:r>
        <w:rPr>
          <w:color w:val="4D565B"/>
        </w:rPr>
        <w:t>the</w:t>
      </w:r>
      <w:r>
        <w:rPr>
          <w:color w:val="4D565B"/>
          <w:spacing w:val="5"/>
        </w:rPr>
        <w:t> </w:t>
      </w:r>
      <w:r>
        <w:rPr>
          <w:color w:val="4D565B"/>
        </w:rPr>
        <w:t>model</w:t>
      </w:r>
      <w:r>
        <w:rPr>
          <w:color w:val="4D565B"/>
          <w:spacing w:val="5"/>
        </w:rPr>
        <w:t> </w:t>
      </w:r>
      <w:r>
        <w:rPr>
          <w:color w:val="4D565B"/>
        </w:rPr>
        <w:t>also</w:t>
      </w:r>
      <w:r>
        <w:rPr>
          <w:color w:val="4D565B"/>
          <w:spacing w:val="5"/>
        </w:rPr>
        <w:t> </w:t>
      </w:r>
      <w:r>
        <w:rPr>
          <w:color w:val="4D565B"/>
        </w:rPr>
        <w:t>has</w:t>
      </w:r>
      <w:r>
        <w:rPr>
          <w:color w:val="4D565B"/>
          <w:spacing w:val="4"/>
        </w:rPr>
        <w:t> </w:t>
      </w:r>
      <w:r>
        <w:rPr>
          <w:color w:val="4D565B"/>
        </w:rPr>
        <w:t>to</w:t>
      </w:r>
      <w:r>
        <w:rPr>
          <w:color w:val="4D565B"/>
          <w:spacing w:val="5"/>
        </w:rPr>
        <w:t> </w:t>
      </w:r>
      <w:r>
        <w:rPr>
          <w:color w:val="4D565B"/>
          <w:spacing w:val="-2"/>
        </w:rPr>
        <w:t>capture</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31"/>
        <w:rPr>
          <w:sz w:val="16"/>
        </w:rPr>
      </w:pPr>
    </w:p>
    <w:p>
      <w:pPr>
        <w:spacing w:before="0"/>
        <w:ind w:left="0" w:right="113" w:firstLine="0"/>
        <w:jc w:val="right"/>
        <w:rPr>
          <w:sz w:val="16"/>
        </w:rPr>
      </w:pPr>
      <w:r>
        <w:rPr>
          <w:color w:val="6E7579"/>
          <w:sz w:val="16"/>
        </w:rPr>
        <w:t>Page </w:t>
      </w:r>
      <w:r>
        <w:rPr>
          <w:color w:val="6E7579"/>
          <w:spacing w:val="-10"/>
          <w:sz w:val="16"/>
        </w:rPr>
        <w:t>3</w:t>
      </w:r>
    </w:p>
    <w:p>
      <w:pPr>
        <w:spacing w:after="0"/>
        <w:jc w:val="right"/>
        <w:rPr>
          <w:sz w:val="16"/>
        </w:rPr>
        <w:sectPr>
          <w:pgSz w:w="12240" w:h="15840"/>
          <w:pgMar w:top="1820" w:bottom="280" w:left="720" w:right="720"/>
        </w:sectPr>
      </w:pPr>
    </w:p>
    <w:p>
      <w:pPr>
        <w:pStyle w:val="BodyText"/>
        <w:spacing w:before="78"/>
        <w:ind w:left="436"/>
      </w:pPr>
      <w:r>
        <w:rPr/>
        <mc:AlternateContent>
          <mc:Choice Requires="wps">
            <w:drawing>
              <wp:anchor distT="0" distB="0" distL="0" distR="0" allowOverlap="1" layoutInCell="1" locked="0" behindDoc="1" simplePos="0" relativeHeight="487280640">
                <wp:simplePos x="0" y="0"/>
                <wp:positionH relativeFrom="page">
                  <wp:posOffset>0</wp:posOffset>
                </wp:positionH>
                <wp:positionV relativeFrom="page">
                  <wp:posOffset>0</wp:posOffset>
                </wp:positionV>
                <wp:extent cx="7772400" cy="10058400"/>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7772400" cy="10058400"/>
                          <a:chExt cx="7772400" cy="10058400"/>
                        </a:xfrm>
                      </wpg:grpSpPr>
                      <pic:pic>
                        <pic:nvPicPr>
                          <pic:cNvPr id="41" name="Image 41"/>
                          <pic:cNvPicPr/>
                        </pic:nvPicPr>
                        <pic:blipFill>
                          <a:blip r:embed="rId5" cstate="print"/>
                          <a:stretch>
                            <a:fillRect/>
                          </a:stretch>
                        </pic:blipFill>
                        <pic:spPr>
                          <a:xfrm>
                            <a:off x="0" y="0"/>
                            <a:ext cx="7772400" cy="10058400"/>
                          </a:xfrm>
                          <a:prstGeom prst="rect">
                            <a:avLst/>
                          </a:prstGeom>
                        </pic:spPr>
                      </pic:pic>
                      <pic:pic>
                        <pic:nvPicPr>
                          <pic:cNvPr id="42" name="Image 42"/>
                          <pic:cNvPicPr/>
                        </pic:nvPicPr>
                        <pic:blipFill>
                          <a:blip r:embed="rId6" cstate="print"/>
                          <a:stretch>
                            <a:fillRect/>
                          </a:stretch>
                        </pic:blipFill>
                        <pic:spPr>
                          <a:xfrm>
                            <a:off x="393191" y="9595713"/>
                            <a:ext cx="960119" cy="87782"/>
                          </a:xfrm>
                          <a:prstGeom prst="rect">
                            <a:avLst/>
                          </a:prstGeom>
                        </pic:spPr>
                      </pic:pic>
                    </wpg:wgp>
                  </a:graphicData>
                </a:graphic>
              </wp:anchor>
            </w:drawing>
          </mc:Choice>
          <mc:Fallback>
            <w:pict>
              <v:group style="position:absolute;margin-left:0pt;margin-top:0pt;width:612pt;height:792pt;mso-position-horizontal-relative:page;mso-position-vertical-relative:page;z-index:-16035840" id="docshapegroup40" coordorigin="0,0" coordsize="12240,15840">
                <v:shape style="position:absolute;left:0;top:0;width:12240;height:15840" type="#_x0000_t75" id="docshape41" stroked="false">
                  <v:imagedata r:id="rId5" o:title=""/>
                </v:shape>
                <v:shape style="position:absolute;left:619;top:15111;width:1512;height:139" type="#_x0000_t75" id="docshape42" stroked="false">
                  <v:imagedata r:id="rId6" o:title=""/>
                </v:shape>
                <w10:wrap type="none"/>
              </v:group>
            </w:pict>
          </mc:Fallback>
        </mc:AlternateContent>
      </w:r>
      <w:r>
        <w:rPr>
          <w:color w:val="4D565B"/>
        </w:rPr>
        <w:t>duplicate-discount</w:t>
      </w:r>
      <w:r>
        <w:rPr>
          <w:color w:val="4D565B"/>
          <w:spacing w:val="7"/>
        </w:rPr>
        <w:t> </w:t>
      </w:r>
      <w:r>
        <w:rPr>
          <w:color w:val="4D565B"/>
        </w:rPr>
        <w:t>and</w:t>
      </w:r>
      <w:r>
        <w:rPr>
          <w:color w:val="4D565B"/>
          <w:spacing w:val="7"/>
        </w:rPr>
        <w:t> </w:t>
      </w:r>
      <w:r>
        <w:rPr>
          <w:color w:val="4D565B"/>
        </w:rPr>
        <w:t>carve-in</w:t>
      </w:r>
      <w:r>
        <w:rPr>
          <w:color w:val="4D565B"/>
          <w:spacing w:val="7"/>
        </w:rPr>
        <w:t> </w:t>
      </w:r>
      <w:r>
        <w:rPr>
          <w:color w:val="4D565B"/>
        </w:rPr>
        <w:t>or</w:t>
      </w:r>
      <w:r>
        <w:rPr>
          <w:color w:val="4D565B"/>
          <w:spacing w:val="7"/>
        </w:rPr>
        <w:t> </w:t>
      </w:r>
      <w:r>
        <w:rPr>
          <w:color w:val="4D565B"/>
        </w:rPr>
        <w:t>carve-out</w:t>
      </w:r>
      <w:r>
        <w:rPr>
          <w:color w:val="4D565B"/>
          <w:spacing w:val="7"/>
        </w:rPr>
        <w:t> </w:t>
      </w:r>
      <w:r>
        <w:rPr>
          <w:color w:val="4D565B"/>
        </w:rPr>
        <w:t>controls.</w:t>
      </w:r>
      <w:r>
        <w:rPr>
          <w:color w:val="4D565B"/>
          <w:spacing w:val="7"/>
        </w:rPr>
        <w:t> </w:t>
      </w:r>
      <w:r>
        <w:rPr>
          <w:color w:val="4D565B"/>
          <w:spacing w:val="-2"/>
        </w:rPr>
        <w:t>[8][9]</w:t>
      </w:r>
    </w:p>
    <w:p>
      <w:pPr>
        <w:pStyle w:val="BodyText"/>
        <w:spacing w:line="283" w:lineRule="auto" w:before="182"/>
        <w:ind w:left="436" w:right="467"/>
      </w:pPr>
      <w:r>
        <w:rPr>
          <w:color w:val="4D565B"/>
        </w:rPr>
        <w:t>For the coding layer, the model will separate temporary and durable payment paths. CMS states that HCPCS Level </w:t>
      </w:r>
      <w:r>
        <w:rPr>
          <w:color w:val="4D565B"/>
        </w:rPr>
        <w:t>II drug and biological applications are due the first business day of each quarter through MEARIS, and that a code itself does not determine coverage or payment. CMS's pass-through materials state that applications must now be submitted through MEARIS, that only MEARIS submissions are accepted, and that a complete file by the first</w:t>
      </w:r>
      <w:r>
        <w:rPr>
          <w:color w:val="4D565B"/>
          <w:spacing w:val="40"/>
        </w:rPr>
        <w:t> </w:t>
      </w:r>
      <w:r>
        <w:rPr>
          <w:color w:val="4D565B"/>
        </w:rPr>
        <w:t>business day of September can support a January 1 effective date. CMS also states that transitional pass-through is temporary additional payment for certain new drugs and biologicals for at least two years but not more than three years. For an August 2026 approval, that means January 1, 2027 is the earliest practical pass-through date if the file</w:t>
      </w:r>
      <w:r>
        <w:rPr>
          <w:color w:val="4D565B"/>
          <w:spacing w:val="40"/>
        </w:rPr>
        <w:t> </w:t>
      </w:r>
      <w:r>
        <w:rPr>
          <w:color w:val="4D565B"/>
        </w:rPr>
        <w:t>is complete. [13][14]</w:t>
      </w:r>
    </w:p>
    <w:p>
      <w:pPr>
        <w:pStyle w:val="BodyText"/>
        <w:spacing w:before="7"/>
        <w:rPr>
          <w:sz w:val="10"/>
        </w:rPr>
      </w:pPr>
    </w:p>
    <w:tbl>
      <w:tblPr>
        <w:tblW w:w="0" w:type="auto"/>
        <w:jc w:val="left"/>
        <w:tblInd w:w="221" w:type="dxa"/>
        <w:tblBorders>
          <w:top w:val="single" w:sz="12" w:space="0" w:color="5B8C2B"/>
          <w:left w:val="single" w:sz="12" w:space="0" w:color="5B8C2B"/>
          <w:bottom w:val="single" w:sz="12" w:space="0" w:color="5B8C2B"/>
          <w:right w:val="single" w:sz="12" w:space="0" w:color="5B8C2B"/>
          <w:insideH w:val="single" w:sz="12" w:space="0" w:color="5B8C2B"/>
          <w:insideV w:val="single" w:sz="12" w:space="0" w:color="5B8C2B"/>
        </w:tblBorders>
        <w:tblLayout w:type="fixed"/>
        <w:tblCellMar>
          <w:top w:w="0" w:type="dxa"/>
          <w:left w:w="0" w:type="dxa"/>
          <w:bottom w:w="0" w:type="dxa"/>
          <w:right w:w="0" w:type="dxa"/>
        </w:tblCellMar>
        <w:tblLook w:val="01E0"/>
      </w:tblPr>
      <w:tblGrid>
        <w:gridCol w:w="2304"/>
        <w:gridCol w:w="8064"/>
      </w:tblGrid>
      <w:tr>
        <w:trPr>
          <w:trHeight w:val="384" w:hRule="atLeast"/>
        </w:trPr>
        <w:tc>
          <w:tcPr>
            <w:tcW w:w="2304" w:type="dxa"/>
            <w:tcBorders>
              <w:left w:val="single" w:sz="4" w:space="0" w:color="C8D3BF"/>
              <w:bottom w:val="single" w:sz="4" w:space="0" w:color="C8D3BF"/>
              <w:right w:val="single" w:sz="4" w:space="0" w:color="C8D3BF"/>
            </w:tcBorders>
            <w:shd w:val="clear" w:color="auto" w:fill="EDF4E6"/>
          </w:tcPr>
          <w:p>
            <w:pPr>
              <w:pStyle w:val="TableParagraph"/>
              <w:spacing w:before="88"/>
              <w:rPr>
                <w:b/>
                <w:sz w:val="17"/>
              </w:rPr>
            </w:pPr>
            <w:r>
              <w:rPr>
                <w:b/>
                <w:color w:val="42691F"/>
                <w:spacing w:val="-2"/>
                <w:sz w:val="17"/>
              </w:rPr>
              <w:t>Assumption</w:t>
            </w:r>
            <w:r>
              <w:rPr>
                <w:b/>
                <w:color w:val="42691F"/>
                <w:spacing w:val="-1"/>
                <w:sz w:val="17"/>
              </w:rPr>
              <w:t> </w:t>
            </w:r>
            <w:r>
              <w:rPr>
                <w:b/>
                <w:color w:val="42691F"/>
                <w:spacing w:val="-2"/>
                <w:sz w:val="17"/>
              </w:rPr>
              <w:t>block</w:t>
            </w:r>
          </w:p>
        </w:tc>
        <w:tc>
          <w:tcPr>
            <w:tcW w:w="8064" w:type="dxa"/>
            <w:tcBorders>
              <w:left w:val="single" w:sz="4" w:space="0" w:color="C8D3BF"/>
              <w:bottom w:val="single" w:sz="4" w:space="0" w:color="C8D3BF"/>
              <w:right w:val="single" w:sz="4" w:space="0" w:color="C8D3BF"/>
            </w:tcBorders>
            <w:shd w:val="clear" w:color="auto" w:fill="EDF4E6"/>
          </w:tcPr>
          <w:p>
            <w:pPr>
              <w:pStyle w:val="TableParagraph"/>
              <w:spacing w:before="88"/>
              <w:rPr>
                <w:b/>
                <w:sz w:val="17"/>
              </w:rPr>
            </w:pPr>
            <w:r>
              <w:rPr>
                <w:b/>
                <w:color w:val="42691F"/>
                <w:spacing w:val="-2"/>
                <w:sz w:val="17"/>
              </w:rPr>
              <w:t>Working</w:t>
            </w:r>
            <w:r>
              <w:rPr>
                <w:b/>
                <w:color w:val="42691F"/>
                <w:spacing w:val="-1"/>
                <w:sz w:val="17"/>
              </w:rPr>
              <w:t> </w:t>
            </w:r>
            <w:r>
              <w:rPr>
                <w:b/>
                <w:color w:val="42691F"/>
                <w:spacing w:val="-2"/>
                <w:sz w:val="17"/>
              </w:rPr>
              <w:t>method</w:t>
            </w:r>
          </w:p>
        </w:tc>
      </w:tr>
      <w:tr>
        <w:trPr>
          <w:trHeight w:val="594" w:hRule="atLeast"/>
        </w:trPr>
        <w:tc>
          <w:tcPr>
            <w:tcW w:w="2304" w:type="dxa"/>
            <w:tcBorders>
              <w:top w:val="single" w:sz="4" w:space="0" w:color="C8D3BF"/>
              <w:left w:val="single" w:sz="4" w:space="0" w:color="C8D3BF"/>
              <w:bottom w:val="single" w:sz="4" w:space="0" w:color="C8D3BF"/>
              <w:right w:val="single" w:sz="4" w:space="0" w:color="C8D3BF"/>
            </w:tcBorders>
            <w:shd w:val="clear" w:color="auto" w:fill="FFFFFF"/>
          </w:tcPr>
          <w:p>
            <w:pPr>
              <w:pStyle w:val="TableParagraph"/>
              <w:rPr>
                <w:sz w:val="16"/>
              </w:rPr>
            </w:pPr>
            <w:r>
              <w:rPr>
                <w:color w:val="4D565B"/>
                <w:w w:val="105"/>
                <w:sz w:val="16"/>
              </w:rPr>
              <w:t>Drug</w:t>
            </w:r>
            <w:r>
              <w:rPr>
                <w:color w:val="4D565B"/>
                <w:spacing w:val="-5"/>
                <w:w w:val="105"/>
                <w:sz w:val="16"/>
              </w:rPr>
              <w:t> </w:t>
            </w:r>
            <w:r>
              <w:rPr>
                <w:color w:val="4D565B"/>
                <w:spacing w:val="-2"/>
                <w:w w:val="105"/>
                <w:sz w:val="16"/>
              </w:rPr>
              <w:t>acquisition</w:t>
            </w:r>
          </w:p>
        </w:tc>
        <w:tc>
          <w:tcPr>
            <w:tcW w:w="8064" w:type="dxa"/>
            <w:tcBorders>
              <w:top w:val="single" w:sz="4" w:space="0" w:color="C8D3BF"/>
              <w:left w:val="single" w:sz="4" w:space="0" w:color="C8D3BF"/>
              <w:bottom w:val="single" w:sz="4" w:space="0" w:color="C8D3BF"/>
              <w:right w:val="single" w:sz="4" w:space="0" w:color="C8D3BF"/>
            </w:tcBorders>
            <w:shd w:val="clear" w:color="auto" w:fill="FFFFFF"/>
          </w:tcPr>
          <w:p>
            <w:pPr>
              <w:pStyle w:val="TableParagraph"/>
              <w:spacing w:line="252" w:lineRule="auto"/>
              <w:rPr>
                <w:sz w:val="16"/>
              </w:rPr>
            </w:pPr>
            <w:r>
              <w:rPr>
                <w:color w:val="4D565B"/>
                <w:w w:val="105"/>
                <w:sz w:val="16"/>
              </w:rPr>
              <w:t>WAC</w:t>
            </w:r>
            <w:r>
              <w:rPr>
                <w:color w:val="4D565B"/>
                <w:spacing w:val="-6"/>
                <w:w w:val="105"/>
                <w:sz w:val="16"/>
              </w:rPr>
              <w:t> </w:t>
            </w:r>
            <w:r>
              <w:rPr>
                <w:color w:val="4D565B"/>
                <w:w w:val="105"/>
                <w:sz w:val="16"/>
              </w:rPr>
              <w:t>by</w:t>
            </w:r>
            <w:r>
              <w:rPr>
                <w:color w:val="4D565B"/>
                <w:spacing w:val="-6"/>
                <w:w w:val="105"/>
                <w:sz w:val="16"/>
              </w:rPr>
              <w:t> </w:t>
            </w:r>
            <w:r>
              <w:rPr>
                <w:color w:val="4D565B"/>
                <w:w w:val="105"/>
                <w:sz w:val="16"/>
              </w:rPr>
              <w:t>NDC</w:t>
            </w:r>
            <w:r>
              <w:rPr>
                <w:color w:val="4D565B"/>
                <w:spacing w:val="-6"/>
                <w:w w:val="105"/>
                <w:sz w:val="16"/>
              </w:rPr>
              <w:t> </w:t>
            </w:r>
            <w:r>
              <w:rPr>
                <w:color w:val="4D565B"/>
                <w:w w:val="105"/>
                <w:sz w:val="16"/>
              </w:rPr>
              <w:t>and</w:t>
            </w:r>
            <w:r>
              <w:rPr>
                <w:color w:val="4D565B"/>
                <w:spacing w:val="-6"/>
                <w:w w:val="105"/>
                <w:sz w:val="16"/>
              </w:rPr>
              <w:t> </w:t>
            </w:r>
            <w:r>
              <w:rPr>
                <w:color w:val="4D565B"/>
                <w:w w:val="105"/>
                <w:sz w:val="16"/>
              </w:rPr>
              <w:t>package</w:t>
            </w:r>
            <w:r>
              <w:rPr>
                <w:color w:val="4D565B"/>
                <w:spacing w:val="-6"/>
                <w:w w:val="105"/>
                <w:sz w:val="16"/>
              </w:rPr>
              <w:t> </w:t>
            </w:r>
            <w:r>
              <w:rPr>
                <w:color w:val="4D565B"/>
                <w:w w:val="105"/>
                <w:sz w:val="16"/>
              </w:rPr>
              <w:t>size;</w:t>
            </w:r>
            <w:r>
              <w:rPr>
                <w:color w:val="4D565B"/>
                <w:spacing w:val="-6"/>
                <w:w w:val="105"/>
                <w:sz w:val="16"/>
              </w:rPr>
              <w:t> </w:t>
            </w:r>
            <w:r>
              <w:rPr>
                <w:color w:val="4D565B"/>
                <w:w w:val="105"/>
                <w:sz w:val="16"/>
              </w:rPr>
              <w:t>estimated</w:t>
            </w:r>
            <w:r>
              <w:rPr>
                <w:color w:val="4D565B"/>
                <w:spacing w:val="-6"/>
                <w:w w:val="105"/>
                <w:sz w:val="16"/>
              </w:rPr>
              <w:t> </w:t>
            </w:r>
            <w:r>
              <w:rPr>
                <w:color w:val="4D565B"/>
                <w:w w:val="105"/>
                <w:sz w:val="16"/>
              </w:rPr>
              <w:t>340B</w:t>
            </w:r>
            <w:r>
              <w:rPr>
                <w:color w:val="4D565B"/>
                <w:spacing w:val="-6"/>
                <w:w w:val="105"/>
                <w:sz w:val="16"/>
              </w:rPr>
              <w:t> </w:t>
            </w:r>
            <w:r>
              <w:rPr>
                <w:color w:val="4D565B"/>
                <w:w w:val="105"/>
                <w:sz w:val="16"/>
              </w:rPr>
              <w:t>acquisition;</w:t>
            </w:r>
            <w:r>
              <w:rPr>
                <w:color w:val="4D565B"/>
                <w:spacing w:val="-6"/>
                <w:w w:val="105"/>
                <w:sz w:val="16"/>
              </w:rPr>
              <w:t> </w:t>
            </w:r>
            <w:r>
              <w:rPr>
                <w:color w:val="4D565B"/>
                <w:w w:val="105"/>
                <w:sz w:val="16"/>
              </w:rPr>
              <w:t>provider</w:t>
            </w:r>
            <w:r>
              <w:rPr>
                <w:color w:val="4D565B"/>
                <w:spacing w:val="-6"/>
                <w:w w:val="105"/>
                <w:sz w:val="16"/>
              </w:rPr>
              <w:t> </w:t>
            </w:r>
            <w:r>
              <w:rPr>
                <w:color w:val="4D565B"/>
                <w:w w:val="105"/>
                <w:sz w:val="16"/>
              </w:rPr>
              <w:t>discount</w:t>
            </w:r>
            <w:r>
              <w:rPr>
                <w:color w:val="4D565B"/>
                <w:spacing w:val="-6"/>
                <w:w w:val="105"/>
                <w:sz w:val="16"/>
              </w:rPr>
              <w:t> </w:t>
            </w:r>
            <w:r>
              <w:rPr>
                <w:color w:val="4D565B"/>
                <w:w w:val="105"/>
                <w:sz w:val="16"/>
              </w:rPr>
              <w:t>or</w:t>
            </w:r>
            <w:r>
              <w:rPr>
                <w:color w:val="4D565B"/>
                <w:spacing w:val="-6"/>
                <w:w w:val="105"/>
                <w:sz w:val="16"/>
              </w:rPr>
              <w:t> </w:t>
            </w:r>
            <w:r>
              <w:rPr>
                <w:color w:val="4D565B"/>
                <w:w w:val="105"/>
                <w:sz w:val="16"/>
              </w:rPr>
              <w:t>rebate;</w:t>
            </w:r>
            <w:r>
              <w:rPr>
                <w:color w:val="4D565B"/>
                <w:spacing w:val="-6"/>
                <w:w w:val="105"/>
                <w:sz w:val="16"/>
              </w:rPr>
              <w:t> </w:t>
            </w:r>
            <w:r>
              <w:rPr>
                <w:color w:val="4D565B"/>
                <w:w w:val="105"/>
                <w:sz w:val="16"/>
              </w:rPr>
              <w:t>free-drug</w:t>
            </w:r>
            <w:r>
              <w:rPr>
                <w:color w:val="4D565B"/>
                <w:spacing w:val="-6"/>
                <w:w w:val="105"/>
                <w:sz w:val="16"/>
              </w:rPr>
              <w:t> </w:t>
            </w:r>
            <w:r>
              <w:rPr>
                <w:color w:val="4D565B"/>
                <w:w w:val="105"/>
                <w:sz w:val="16"/>
              </w:rPr>
              <w:t>bridge treatment as separate from reimbursed commercial inventory.</w:t>
            </w:r>
          </w:p>
        </w:tc>
      </w:tr>
      <w:tr>
        <w:trPr>
          <w:trHeight w:val="795" w:hRule="atLeast"/>
        </w:trPr>
        <w:tc>
          <w:tcPr>
            <w:tcW w:w="2304" w:type="dxa"/>
            <w:tcBorders>
              <w:top w:val="single" w:sz="4" w:space="0" w:color="C8D3BF"/>
              <w:left w:val="single" w:sz="4" w:space="0" w:color="C8D3BF"/>
              <w:bottom w:val="single" w:sz="4" w:space="0" w:color="C8D3BF"/>
              <w:right w:val="single" w:sz="4" w:space="0" w:color="C8D3BF"/>
            </w:tcBorders>
            <w:shd w:val="clear" w:color="auto" w:fill="F6F6F2"/>
          </w:tcPr>
          <w:p>
            <w:pPr>
              <w:pStyle w:val="TableParagraph"/>
              <w:rPr>
                <w:sz w:val="16"/>
              </w:rPr>
            </w:pPr>
            <w:r>
              <w:rPr>
                <w:color w:val="4D565B"/>
                <w:w w:val="105"/>
                <w:sz w:val="16"/>
              </w:rPr>
              <w:t>Drug</w:t>
            </w:r>
            <w:r>
              <w:rPr>
                <w:color w:val="4D565B"/>
                <w:spacing w:val="-5"/>
                <w:w w:val="105"/>
                <w:sz w:val="16"/>
              </w:rPr>
              <w:t> </w:t>
            </w:r>
            <w:r>
              <w:rPr>
                <w:color w:val="4D565B"/>
                <w:spacing w:val="-2"/>
                <w:w w:val="105"/>
                <w:sz w:val="16"/>
              </w:rPr>
              <w:t>payment</w:t>
            </w:r>
          </w:p>
        </w:tc>
        <w:tc>
          <w:tcPr>
            <w:tcW w:w="8064" w:type="dxa"/>
            <w:tcBorders>
              <w:top w:val="single" w:sz="4" w:space="0" w:color="C8D3BF"/>
              <w:left w:val="single" w:sz="4" w:space="0" w:color="C8D3BF"/>
              <w:bottom w:val="single" w:sz="4" w:space="0" w:color="C8D3BF"/>
              <w:right w:val="single" w:sz="4" w:space="0" w:color="C8D3BF"/>
            </w:tcBorders>
            <w:shd w:val="clear" w:color="auto" w:fill="F6F6F2"/>
          </w:tcPr>
          <w:p>
            <w:pPr>
              <w:pStyle w:val="TableParagraph"/>
              <w:spacing w:line="252" w:lineRule="auto"/>
              <w:rPr>
                <w:sz w:val="16"/>
              </w:rPr>
            </w:pPr>
            <w:r>
              <w:rPr>
                <w:color w:val="4D565B"/>
                <w:w w:val="105"/>
                <w:sz w:val="16"/>
              </w:rPr>
              <w:t>Commercial</w:t>
            </w:r>
            <w:r>
              <w:rPr>
                <w:color w:val="4D565B"/>
                <w:spacing w:val="-6"/>
                <w:w w:val="105"/>
                <w:sz w:val="16"/>
              </w:rPr>
              <w:t> </w:t>
            </w:r>
            <w:r>
              <w:rPr>
                <w:color w:val="4D565B"/>
                <w:w w:val="105"/>
                <w:sz w:val="16"/>
              </w:rPr>
              <w:t>contracted</w:t>
            </w:r>
            <w:r>
              <w:rPr>
                <w:color w:val="4D565B"/>
                <w:spacing w:val="-6"/>
                <w:w w:val="105"/>
                <w:sz w:val="16"/>
              </w:rPr>
              <w:t> </w:t>
            </w:r>
            <w:r>
              <w:rPr>
                <w:color w:val="4D565B"/>
                <w:w w:val="105"/>
                <w:sz w:val="16"/>
              </w:rPr>
              <w:t>payment</w:t>
            </w:r>
            <w:r>
              <w:rPr>
                <w:color w:val="4D565B"/>
                <w:spacing w:val="-6"/>
                <w:w w:val="105"/>
                <w:sz w:val="16"/>
              </w:rPr>
              <w:t> </w:t>
            </w:r>
            <w:r>
              <w:rPr>
                <w:color w:val="4D565B"/>
                <w:w w:val="105"/>
                <w:sz w:val="16"/>
              </w:rPr>
              <w:t>assumption</w:t>
            </w:r>
            <w:r>
              <w:rPr>
                <w:color w:val="4D565B"/>
                <w:spacing w:val="-6"/>
                <w:w w:val="105"/>
                <w:sz w:val="16"/>
              </w:rPr>
              <w:t> </w:t>
            </w:r>
            <w:r>
              <w:rPr>
                <w:color w:val="4D565B"/>
                <w:w w:val="105"/>
                <w:sz w:val="16"/>
              </w:rPr>
              <w:t>by</w:t>
            </w:r>
            <w:r>
              <w:rPr>
                <w:color w:val="4D565B"/>
                <w:spacing w:val="-6"/>
                <w:w w:val="105"/>
                <w:sz w:val="16"/>
              </w:rPr>
              <w:t> </w:t>
            </w:r>
            <w:r>
              <w:rPr>
                <w:color w:val="4D565B"/>
                <w:w w:val="105"/>
                <w:sz w:val="16"/>
              </w:rPr>
              <w:t>site</w:t>
            </w:r>
            <w:r>
              <w:rPr>
                <w:color w:val="4D565B"/>
                <w:spacing w:val="-6"/>
                <w:w w:val="105"/>
                <w:sz w:val="16"/>
              </w:rPr>
              <w:t> </w:t>
            </w:r>
            <w:r>
              <w:rPr>
                <w:color w:val="4D565B"/>
                <w:w w:val="105"/>
                <w:sz w:val="16"/>
              </w:rPr>
              <w:t>of</w:t>
            </w:r>
            <w:r>
              <w:rPr>
                <w:color w:val="4D565B"/>
                <w:spacing w:val="-6"/>
                <w:w w:val="105"/>
                <w:sz w:val="16"/>
              </w:rPr>
              <w:t> </w:t>
            </w:r>
            <w:r>
              <w:rPr>
                <w:color w:val="4D565B"/>
                <w:w w:val="105"/>
                <w:sz w:val="16"/>
              </w:rPr>
              <w:t>care;</w:t>
            </w:r>
            <w:r>
              <w:rPr>
                <w:color w:val="4D565B"/>
                <w:spacing w:val="-6"/>
                <w:w w:val="105"/>
                <w:sz w:val="16"/>
              </w:rPr>
              <w:t> </w:t>
            </w:r>
            <w:r>
              <w:rPr>
                <w:color w:val="4D565B"/>
                <w:w w:val="105"/>
                <w:sz w:val="16"/>
              </w:rPr>
              <w:t>103%</w:t>
            </w:r>
            <w:r>
              <w:rPr>
                <w:color w:val="4D565B"/>
                <w:spacing w:val="-6"/>
                <w:w w:val="105"/>
                <w:sz w:val="16"/>
              </w:rPr>
              <w:t> </w:t>
            </w:r>
            <w:r>
              <w:rPr>
                <w:color w:val="4D565B"/>
                <w:w w:val="105"/>
                <w:sz w:val="16"/>
              </w:rPr>
              <w:t>of</w:t>
            </w:r>
            <w:r>
              <w:rPr>
                <w:color w:val="4D565B"/>
                <w:spacing w:val="-6"/>
                <w:w w:val="105"/>
                <w:sz w:val="16"/>
              </w:rPr>
              <w:t> </w:t>
            </w:r>
            <w:r>
              <w:rPr>
                <w:color w:val="4D565B"/>
                <w:w w:val="105"/>
                <w:sz w:val="16"/>
              </w:rPr>
              <w:t>WAC</w:t>
            </w:r>
            <w:r>
              <w:rPr>
                <w:color w:val="4D565B"/>
                <w:spacing w:val="-6"/>
                <w:w w:val="105"/>
                <w:sz w:val="16"/>
              </w:rPr>
              <w:t> </w:t>
            </w:r>
            <w:r>
              <w:rPr>
                <w:color w:val="4D565B"/>
                <w:w w:val="105"/>
                <w:sz w:val="16"/>
              </w:rPr>
              <w:t>during</w:t>
            </w:r>
            <w:r>
              <w:rPr>
                <w:color w:val="4D565B"/>
                <w:spacing w:val="-6"/>
                <w:w w:val="105"/>
                <w:sz w:val="16"/>
              </w:rPr>
              <w:t> </w:t>
            </w:r>
            <w:r>
              <w:rPr>
                <w:color w:val="4D565B"/>
                <w:w w:val="105"/>
                <w:sz w:val="16"/>
              </w:rPr>
              <w:t>initial</w:t>
            </w:r>
            <w:r>
              <w:rPr>
                <w:color w:val="4D565B"/>
                <w:spacing w:val="-6"/>
                <w:w w:val="105"/>
                <w:sz w:val="16"/>
              </w:rPr>
              <w:t> </w:t>
            </w:r>
            <w:r>
              <w:rPr>
                <w:color w:val="4D565B"/>
                <w:w w:val="105"/>
                <w:sz w:val="16"/>
              </w:rPr>
              <w:t>sales</w:t>
            </w:r>
            <w:r>
              <w:rPr>
                <w:color w:val="4D565B"/>
                <w:spacing w:val="-6"/>
                <w:w w:val="105"/>
                <w:sz w:val="16"/>
              </w:rPr>
              <w:t> </w:t>
            </w:r>
            <w:r>
              <w:rPr>
                <w:color w:val="4D565B"/>
                <w:w w:val="105"/>
                <w:sz w:val="16"/>
              </w:rPr>
              <w:t>period</w:t>
            </w:r>
            <w:r>
              <w:rPr>
                <w:color w:val="4D565B"/>
                <w:spacing w:val="-6"/>
                <w:w w:val="105"/>
                <w:sz w:val="16"/>
              </w:rPr>
              <w:t> </w:t>
            </w:r>
            <w:r>
              <w:rPr>
                <w:color w:val="4D565B"/>
                <w:w w:val="105"/>
                <w:sz w:val="16"/>
              </w:rPr>
              <w:t>when ASP is unavailable; 95% of AWP for C9399 interim contractor-priced hospital outpatient claims; state-set Medicaid physician-administered drug methodology.</w:t>
            </w:r>
          </w:p>
        </w:tc>
      </w:tr>
      <w:tr>
        <w:trPr>
          <w:trHeight w:val="594" w:hRule="atLeast"/>
        </w:trPr>
        <w:tc>
          <w:tcPr>
            <w:tcW w:w="2304" w:type="dxa"/>
            <w:tcBorders>
              <w:top w:val="single" w:sz="4" w:space="0" w:color="C8D3BF"/>
              <w:left w:val="single" w:sz="4" w:space="0" w:color="C8D3BF"/>
              <w:bottom w:val="single" w:sz="4" w:space="0" w:color="C8D3BF"/>
              <w:right w:val="single" w:sz="4" w:space="0" w:color="C8D3BF"/>
            </w:tcBorders>
            <w:shd w:val="clear" w:color="auto" w:fill="FFFFFF"/>
          </w:tcPr>
          <w:p>
            <w:pPr>
              <w:pStyle w:val="TableParagraph"/>
              <w:rPr>
                <w:sz w:val="16"/>
              </w:rPr>
            </w:pPr>
            <w:r>
              <w:rPr>
                <w:color w:val="4D565B"/>
                <w:w w:val="105"/>
                <w:sz w:val="16"/>
              </w:rPr>
              <w:t>Administration</w:t>
            </w:r>
            <w:r>
              <w:rPr>
                <w:color w:val="4D565B"/>
                <w:spacing w:val="-12"/>
                <w:w w:val="105"/>
                <w:sz w:val="16"/>
              </w:rPr>
              <w:t> </w:t>
            </w:r>
            <w:r>
              <w:rPr>
                <w:color w:val="4D565B"/>
                <w:spacing w:val="-2"/>
                <w:w w:val="105"/>
                <w:sz w:val="16"/>
              </w:rPr>
              <w:t>economics</w:t>
            </w:r>
          </w:p>
        </w:tc>
        <w:tc>
          <w:tcPr>
            <w:tcW w:w="8064" w:type="dxa"/>
            <w:tcBorders>
              <w:top w:val="single" w:sz="4" w:space="0" w:color="C8D3BF"/>
              <w:left w:val="single" w:sz="4" w:space="0" w:color="C8D3BF"/>
              <w:bottom w:val="single" w:sz="4" w:space="0" w:color="C8D3BF"/>
              <w:right w:val="single" w:sz="4" w:space="0" w:color="C8D3BF"/>
            </w:tcBorders>
            <w:shd w:val="clear" w:color="auto" w:fill="FFFFFF"/>
          </w:tcPr>
          <w:p>
            <w:pPr>
              <w:pStyle w:val="TableParagraph"/>
              <w:spacing w:line="252" w:lineRule="auto"/>
              <w:rPr>
                <w:sz w:val="16"/>
              </w:rPr>
            </w:pPr>
            <w:r>
              <w:rPr>
                <w:color w:val="4D565B"/>
                <w:w w:val="105"/>
                <w:sz w:val="16"/>
              </w:rPr>
              <w:t>Procedure</w:t>
            </w:r>
            <w:r>
              <w:rPr>
                <w:color w:val="4D565B"/>
                <w:spacing w:val="-8"/>
                <w:w w:val="105"/>
                <w:sz w:val="16"/>
              </w:rPr>
              <w:t> </w:t>
            </w:r>
            <w:r>
              <w:rPr>
                <w:color w:val="4D565B"/>
                <w:w w:val="105"/>
                <w:sz w:val="16"/>
              </w:rPr>
              <w:t>payment,</w:t>
            </w:r>
            <w:r>
              <w:rPr>
                <w:color w:val="4D565B"/>
                <w:spacing w:val="-8"/>
                <w:w w:val="105"/>
                <w:sz w:val="16"/>
              </w:rPr>
              <w:t> </w:t>
            </w:r>
            <w:r>
              <w:rPr>
                <w:color w:val="4D565B"/>
                <w:w w:val="105"/>
                <w:sz w:val="16"/>
              </w:rPr>
              <w:t>physician</w:t>
            </w:r>
            <w:r>
              <w:rPr>
                <w:color w:val="4D565B"/>
                <w:spacing w:val="-8"/>
                <w:w w:val="105"/>
                <w:sz w:val="16"/>
              </w:rPr>
              <w:t> </w:t>
            </w:r>
            <w:r>
              <w:rPr>
                <w:color w:val="4D565B"/>
                <w:w w:val="105"/>
                <w:sz w:val="16"/>
              </w:rPr>
              <w:t>oversight,</w:t>
            </w:r>
            <w:r>
              <w:rPr>
                <w:color w:val="4D565B"/>
                <w:spacing w:val="-8"/>
                <w:w w:val="105"/>
                <w:sz w:val="16"/>
              </w:rPr>
              <w:t> </w:t>
            </w:r>
            <w:r>
              <w:rPr>
                <w:color w:val="4D565B"/>
                <w:w w:val="105"/>
                <w:sz w:val="16"/>
              </w:rPr>
              <w:t>nursing</w:t>
            </w:r>
            <w:r>
              <w:rPr>
                <w:color w:val="4D565B"/>
                <w:spacing w:val="-8"/>
                <w:w w:val="105"/>
                <w:sz w:val="16"/>
              </w:rPr>
              <w:t> </w:t>
            </w:r>
            <w:r>
              <w:rPr>
                <w:color w:val="4D565B"/>
                <w:w w:val="105"/>
                <w:sz w:val="16"/>
              </w:rPr>
              <w:t>time,</w:t>
            </w:r>
            <w:r>
              <w:rPr>
                <w:color w:val="4D565B"/>
                <w:spacing w:val="-8"/>
                <w:w w:val="105"/>
                <w:sz w:val="16"/>
              </w:rPr>
              <w:t> </w:t>
            </w:r>
            <w:r>
              <w:rPr>
                <w:color w:val="4D565B"/>
                <w:w w:val="105"/>
                <w:sz w:val="16"/>
              </w:rPr>
              <w:t>pharmacy</w:t>
            </w:r>
            <w:r>
              <w:rPr>
                <w:color w:val="4D565B"/>
                <w:spacing w:val="-8"/>
                <w:w w:val="105"/>
                <w:sz w:val="16"/>
              </w:rPr>
              <w:t> </w:t>
            </w:r>
            <w:r>
              <w:rPr>
                <w:color w:val="4D565B"/>
                <w:w w:val="105"/>
                <w:sz w:val="16"/>
              </w:rPr>
              <w:t>handling,</w:t>
            </w:r>
            <w:r>
              <w:rPr>
                <w:color w:val="4D565B"/>
                <w:spacing w:val="-8"/>
                <w:w w:val="105"/>
                <w:sz w:val="16"/>
              </w:rPr>
              <w:t> </w:t>
            </w:r>
            <w:r>
              <w:rPr>
                <w:color w:val="4D565B"/>
                <w:w w:val="105"/>
                <w:sz w:val="16"/>
              </w:rPr>
              <w:t>anesthesia</w:t>
            </w:r>
            <w:r>
              <w:rPr>
                <w:color w:val="4D565B"/>
                <w:spacing w:val="-8"/>
                <w:w w:val="105"/>
                <w:sz w:val="16"/>
              </w:rPr>
              <w:t> </w:t>
            </w:r>
            <w:r>
              <w:rPr>
                <w:color w:val="4D565B"/>
                <w:w w:val="105"/>
                <w:sz w:val="16"/>
              </w:rPr>
              <w:t>or</w:t>
            </w:r>
            <w:r>
              <w:rPr>
                <w:color w:val="4D565B"/>
                <w:spacing w:val="-8"/>
                <w:w w:val="105"/>
                <w:sz w:val="16"/>
              </w:rPr>
              <w:t> </w:t>
            </w:r>
            <w:r>
              <w:rPr>
                <w:color w:val="4D565B"/>
                <w:w w:val="105"/>
                <w:sz w:val="16"/>
              </w:rPr>
              <w:t>imaging</w:t>
            </w:r>
            <w:r>
              <w:rPr>
                <w:color w:val="4D565B"/>
                <w:spacing w:val="-8"/>
                <w:w w:val="105"/>
                <w:sz w:val="16"/>
              </w:rPr>
              <w:t> </w:t>
            </w:r>
            <w:r>
              <w:rPr>
                <w:color w:val="4D565B"/>
                <w:w w:val="105"/>
                <w:sz w:val="16"/>
              </w:rPr>
              <w:t>where relevant, and center-specific overhead assumptions.</w:t>
            </w:r>
          </w:p>
        </w:tc>
      </w:tr>
      <w:tr>
        <w:trPr>
          <w:trHeight w:val="593" w:hRule="atLeast"/>
        </w:trPr>
        <w:tc>
          <w:tcPr>
            <w:tcW w:w="2304" w:type="dxa"/>
            <w:tcBorders>
              <w:top w:val="single" w:sz="4" w:space="0" w:color="C8D3BF"/>
              <w:left w:val="single" w:sz="4" w:space="0" w:color="C8D3BF"/>
              <w:bottom w:val="single" w:sz="4" w:space="0" w:color="C8D3BF"/>
              <w:right w:val="single" w:sz="4" w:space="0" w:color="C8D3BF"/>
            </w:tcBorders>
            <w:shd w:val="clear" w:color="auto" w:fill="F6F6F2"/>
          </w:tcPr>
          <w:p>
            <w:pPr>
              <w:pStyle w:val="TableParagraph"/>
              <w:rPr>
                <w:sz w:val="16"/>
              </w:rPr>
            </w:pPr>
            <w:r>
              <w:rPr>
                <w:color w:val="4D565B"/>
                <w:w w:val="105"/>
                <w:sz w:val="16"/>
              </w:rPr>
              <w:t>Claim</w:t>
            </w:r>
            <w:r>
              <w:rPr>
                <w:color w:val="4D565B"/>
                <w:spacing w:val="-6"/>
                <w:w w:val="105"/>
                <w:sz w:val="16"/>
              </w:rPr>
              <w:t> </w:t>
            </w:r>
            <w:r>
              <w:rPr>
                <w:color w:val="4D565B"/>
                <w:spacing w:val="-2"/>
                <w:w w:val="105"/>
                <w:sz w:val="16"/>
              </w:rPr>
              <w:t>performance</w:t>
            </w:r>
          </w:p>
        </w:tc>
        <w:tc>
          <w:tcPr>
            <w:tcW w:w="8064" w:type="dxa"/>
            <w:tcBorders>
              <w:top w:val="single" w:sz="4" w:space="0" w:color="C8D3BF"/>
              <w:left w:val="single" w:sz="4" w:space="0" w:color="C8D3BF"/>
              <w:bottom w:val="single" w:sz="4" w:space="0" w:color="C8D3BF"/>
              <w:right w:val="single" w:sz="4" w:space="0" w:color="C8D3BF"/>
            </w:tcBorders>
            <w:shd w:val="clear" w:color="auto" w:fill="F6F6F2"/>
          </w:tcPr>
          <w:p>
            <w:pPr>
              <w:pStyle w:val="TableParagraph"/>
              <w:spacing w:line="252" w:lineRule="auto"/>
              <w:rPr>
                <w:sz w:val="16"/>
              </w:rPr>
            </w:pPr>
            <w:r>
              <w:rPr>
                <w:color w:val="4D565B"/>
                <w:w w:val="105"/>
                <w:sz w:val="16"/>
              </w:rPr>
              <w:t>Prior</w:t>
            </w:r>
            <w:r>
              <w:rPr>
                <w:color w:val="4D565B"/>
                <w:spacing w:val="-9"/>
                <w:w w:val="105"/>
                <w:sz w:val="16"/>
              </w:rPr>
              <w:t> </w:t>
            </w:r>
            <w:r>
              <w:rPr>
                <w:color w:val="4D565B"/>
                <w:w w:val="105"/>
                <w:sz w:val="16"/>
              </w:rPr>
              <w:t>authorization</w:t>
            </w:r>
            <w:r>
              <w:rPr>
                <w:color w:val="4D565B"/>
                <w:spacing w:val="-9"/>
                <w:w w:val="105"/>
                <w:sz w:val="16"/>
              </w:rPr>
              <w:t> </w:t>
            </w:r>
            <w:r>
              <w:rPr>
                <w:color w:val="4D565B"/>
                <w:w w:val="105"/>
                <w:sz w:val="16"/>
              </w:rPr>
              <w:t>lead</w:t>
            </w:r>
            <w:r>
              <w:rPr>
                <w:color w:val="4D565B"/>
                <w:spacing w:val="-9"/>
                <w:w w:val="105"/>
                <w:sz w:val="16"/>
              </w:rPr>
              <w:t> </w:t>
            </w:r>
            <w:r>
              <w:rPr>
                <w:color w:val="4D565B"/>
                <w:w w:val="105"/>
                <w:sz w:val="16"/>
              </w:rPr>
              <w:t>time,</w:t>
            </w:r>
            <w:r>
              <w:rPr>
                <w:color w:val="4D565B"/>
                <w:spacing w:val="-9"/>
                <w:w w:val="105"/>
                <w:sz w:val="16"/>
              </w:rPr>
              <w:t> </w:t>
            </w:r>
            <w:r>
              <w:rPr>
                <w:color w:val="4D565B"/>
                <w:w w:val="105"/>
                <w:sz w:val="16"/>
              </w:rPr>
              <w:t>clean-claim</w:t>
            </w:r>
            <w:r>
              <w:rPr>
                <w:color w:val="4D565B"/>
                <w:spacing w:val="-9"/>
                <w:w w:val="105"/>
                <w:sz w:val="16"/>
              </w:rPr>
              <w:t> </w:t>
            </w:r>
            <w:r>
              <w:rPr>
                <w:color w:val="4D565B"/>
                <w:w w:val="105"/>
                <w:sz w:val="16"/>
              </w:rPr>
              <w:t>rate,</w:t>
            </w:r>
            <w:r>
              <w:rPr>
                <w:color w:val="4D565B"/>
                <w:spacing w:val="-9"/>
                <w:w w:val="105"/>
                <w:sz w:val="16"/>
              </w:rPr>
              <w:t> </w:t>
            </w:r>
            <w:r>
              <w:rPr>
                <w:color w:val="4D565B"/>
                <w:w w:val="105"/>
                <w:sz w:val="16"/>
              </w:rPr>
              <w:t>denial</w:t>
            </w:r>
            <w:r>
              <w:rPr>
                <w:color w:val="4D565B"/>
                <w:spacing w:val="-9"/>
                <w:w w:val="105"/>
                <w:sz w:val="16"/>
              </w:rPr>
              <w:t> </w:t>
            </w:r>
            <w:r>
              <w:rPr>
                <w:color w:val="4D565B"/>
                <w:w w:val="105"/>
                <w:sz w:val="16"/>
              </w:rPr>
              <w:t>probability,</w:t>
            </w:r>
            <w:r>
              <w:rPr>
                <w:color w:val="4D565B"/>
                <w:spacing w:val="-9"/>
                <w:w w:val="105"/>
                <w:sz w:val="16"/>
              </w:rPr>
              <w:t> </w:t>
            </w:r>
            <w:r>
              <w:rPr>
                <w:color w:val="4D565B"/>
                <w:w w:val="105"/>
                <w:sz w:val="16"/>
              </w:rPr>
              <w:t>resubmission</w:t>
            </w:r>
            <w:r>
              <w:rPr>
                <w:color w:val="4D565B"/>
                <w:spacing w:val="-9"/>
                <w:w w:val="105"/>
                <w:sz w:val="16"/>
              </w:rPr>
              <w:t> </w:t>
            </w:r>
            <w:r>
              <w:rPr>
                <w:color w:val="4D565B"/>
                <w:w w:val="105"/>
                <w:sz w:val="16"/>
              </w:rPr>
              <w:t>effort,</w:t>
            </w:r>
            <w:r>
              <w:rPr>
                <w:color w:val="4D565B"/>
                <w:spacing w:val="-9"/>
                <w:w w:val="105"/>
                <w:sz w:val="16"/>
              </w:rPr>
              <w:t> </w:t>
            </w:r>
            <w:r>
              <w:rPr>
                <w:color w:val="4D565B"/>
                <w:w w:val="105"/>
                <w:sz w:val="16"/>
              </w:rPr>
              <w:t>days</w:t>
            </w:r>
            <w:r>
              <w:rPr>
                <w:color w:val="4D565B"/>
                <w:spacing w:val="-9"/>
                <w:w w:val="105"/>
                <w:sz w:val="16"/>
              </w:rPr>
              <w:t> </w:t>
            </w:r>
            <w:r>
              <w:rPr>
                <w:color w:val="4D565B"/>
                <w:w w:val="105"/>
                <w:sz w:val="16"/>
              </w:rPr>
              <w:t>to</w:t>
            </w:r>
            <w:r>
              <w:rPr>
                <w:color w:val="4D565B"/>
                <w:spacing w:val="-9"/>
                <w:w w:val="105"/>
                <w:sz w:val="16"/>
              </w:rPr>
              <w:t> </w:t>
            </w:r>
            <w:r>
              <w:rPr>
                <w:color w:val="4D565B"/>
                <w:w w:val="105"/>
                <w:sz w:val="16"/>
              </w:rPr>
              <w:t>payment,</w:t>
            </w:r>
            <w:r>
              <w:rPr>
                <w:color w:val="4D565B"/>
                <w:spacing w:val="-9"/>
                <w:w w:val="105"/>
                <w:sz w:val="16"/>
              </w:rPr>
              <w:t> </w:t>
            </w:r>
            <w:r>
              <w:rPr>
                <w:color w:val="4D565B"/>
                <w:w w:val="105"/>
                <w:sz w:val="16"/>
              </w:rPr>
              <w:t>and inventory financing cost.</w:t>
            </w:r>
          </w:p>
        </w:tc>
      </w:tr>
      <w:tr>
        <w:trPr>
          <w:trHeight w:val="593" w:hRule="atLeast"/>
        </w:trPr>
        <w:tc>
          <w:tcPr>
            <w:tcW w:w="2304" w:type="dxa"/>
            <w:tcBorders>
              <w:top w:val="single" w:sz="4" w:space="0" w:color="C8D3BF"/>
              <w:left w:val="single" w:sz="4" w:space="0" w:color="C8D3BF"/>
              <w:bottom w:val="single" w:sz="4" w:space="0" w:color="C8D3BF"/>
              <w:right w:val="single" w:sz="4" w:space="0" w:color="C8D3BF"/>
            </w:tcBorders>
            <w:shd w:val="clear" w:color="auto" w:fill="FFFFFF"/>
          </w:tcPr>
          <w:p>
            <w:pPr>
              <w:pStyle w:val="TableParagraph"/>
              <w:rPr>
                <w:sz w:val="16"/>
              </w:rPr>
            </w:pPr>
            <w:r>
              <w:rPr>
                <w:color w:val="4D565B"/>
                <w:w w:val="105"/>
                <w:sz w:val="16"/>
              </w:rPr>
              <w:t>Contracting</w:t>
            </w:r>
            <w:r>
              <w:rPr>
                <w:color w:val="4D565B"/>
                <w:spacing w:val="-10"/>
                <w:w w:val="105"/>
                <w:sz w:val="16"/>
              </w:rPr>
              <w:t> </w:t>
            </w:r>
            <w:r>
              <w:rPr>
                <w:color w:val="4D565B"/>
                <w:spacing w:val="-2"/>
                <w:w w:val="105"/>
                <w:sz w:val="16"/>
              </w:rPr>
              <w:t>levers</w:t>
            </w:r>
          </w:p>
        </w:tc>
        <w:tc>
          <w:tcPr>
            <w:tcW w:w="8064" w:type="dxa"/>
            <w:tcBorders>
              <w:top w:val="single" w:sz="4" w:space="0" w:color="C8D3BF"/>
              <w:left w:val="single" w:sz="4" w:space="0" w:color="C8D3BF"/>
              <w:bottom w:val="single" w:sz="4" w:space="0" w:color="C8D3BF"/>
              <w:right w:val="single" w:sz="4" w:space="0" w:color="C8D3BF"/>
            </w:tcBorders>
            <w:shd w:val="clear" w:color="auto" w:fill="FFFFFF"/>
          </w:tcPr>
          <w:p>
            <w:pPr>
              <w:pStyle w:val="TableParagraph"/>
              <w:spacing w:line="252" w:lineRule="auto"/>
              <w:ind w:right="554"/>
              <w:rPr>
                <w:sz w:val="16"/>
              </w:rPr>
            </w:pPr>
            <w:r>
              <w:rPr>
                <w:color w:val="4D565B"/>
                <w:w w:val="105"/>
                <w:sz w:val="16"/>
              </w:rPr>
              <w:t>Hospital</w:t>
            </w:r>
            <w:r>
              <w:rPr>
                <w:color w:val="4D565B"/>
                <w:spacing w:val="-10"/>
                <w:w w:val="105"/>
                <w:sz w:val="16"/>
              </w:rPr>
              <w:t> </w:t>
            </w:r>
            <w:r>
              <w:rPr>
                <w:color w:val="4D565B"/>
                <w:w w:val="105"/>
                <w:sz w:val="16"/>
              </w:rPr>
              <w:t>system</w:t>
            </w:r>
            <w:r>
              <w:rPr>
                <w:color w:val="4D565B"/>
                <w:spacing w:val="-10"/>
                <w:w w:val="105"/>
                <w:sz w:val="16"/>
              </w:rPr>
              <w:t> </w:t>
            </w:r>
            <w:r>
              <w:rPr>
                <w:color w:val="4D565B"/>
                <w:w w:val="105"/>
                <w:sz w:val="16"/>
              </w:rPr>
              <w:t>agreement</w:t>
            </w:r>
            <w:r>
              <w:rPr>
                <w:color w:val="4D565B"/>
                <w:spacing w:val="-10"/>
                <w:w w:val="105"/>
                <w:sz w:val="16"/>
              </w:rPr>
              <w:t> </w:t>
            </w:r>
            <w:r>
              <w:rPr>
                <w:color w:val="4D565B"/>
                <w:w w:val="105"/>
                <w:sz w:val="16"/>
              </w:rPr>
              <w:t>status,</w:t>
            </w:r>
            <w:r>
              <w:rPr>
                <w:color w:val="4D565B"/>
                <w:spacing w:val="-10"/>
                <w:w w:val="105"/>
                <w:sz w:val="16"/>
              </w:rPr>
              <w:t> </w:t>
            </w:r>
            <w:r>
              <w:rPr>
                <w:color w:val="4D565B"/>
                <w:w w:val="105"/>
                <w:sz w:val="16"/>
              </w:rPr>
              <w:t>PBM</w:t>
            </w:r>
            <w:r>
              <w:rPr>
                <w:color w:val="4D565B"/>
                <w:spacing w:val="-10"/>
                <w:w w:val="105"/>
                <w:sz w:val="16"/>
              </w:rPr>
              <w:t> </w:t>
            </w:r>
            <w:r>
              <w:rPr>
                <w:color w:val="4D565B"/>
                <w:w w:val="105"/>
                <w:sz w:val="16"/>
              </w:rPr>
              <w:t>or</w:t>
            </w:r>
            <w:r>
              <w:rPr>
                <w:color w:val="4D565B"/>
                <w:spacing w:val="-10"/>
                <w:w w:val="105"/>
                <w:sz w:val="16"/>
              </w:rPr>
              <w:t> </w:t>
            </w:r>
            <w:r>
              <w:rPr>
                <w:color w:val="4D565B"/>
                <w:w w:val="105"/>
                <w:sz w:val="16"/>
              </w:rPr>
              <w:t>specialty-pharmacy</w:t>
            </w:r>
            <w:r>
              <w:rPr>
                <w:color w:val="4D565B"/>
                <w:spacing w:val="-10"/>
                <w:w w:val="105"/>
                <w:sz w:val="16"/>
              </w:rPr>
              <w:t> </w:t>
            </w:r>
            <w:r>
              <w:rPr>
                <w:color w:val="4D565B"/>
                <w:w w:val="105"/>
                <w:sz w:val="16"/>
              </w:rPr>
              <w:t>sourcing</w:t>
            </w:r>
            <w:r>
              <w:rPr>
                <w:color w:val="4D565B"/>
                <w:spacing w:val="-10"/>
                <w:w w:val="105"/>
                <w:sz w:val="16"/>
              </w:rPr>
              <w:t> </w:t>
            </w:r>
            <w:r>
              <w:rPr>
                <w:color w:val="4D565B"/>
                <w:w w:val="105"/>
                <w:sz w:val="16"/>
              </w:rPr>
              <w:t>requirement,</w:t>
            </w:r>
            <w:r>
              <w:rPr>
                <w:color w:val="4D565B"/>
                <w:spacing w:val="-10"/>
                <w:w w:val="105"/>
                <w:sz w:val="16"/>
              </w:rPr>
              <w:t> </w:t>
            </w:r>
            <w:r>
              <w:rPr>
                <w:color w:val="4D565B"/>
                <w:w w:val="105"/>
                <w:sz w:val="16"/>
              </w:rPr>
              <w:t>white-bagging carve-out or exception status, and provider-facing support level.</w:t>
            </w:r>
          </w:p>
        </w:tc>
      </w:tr>
      <w:tr>
        <w:trPr>
          <w:trHeight w:val="593" w:hRule="atLeast"/>
        </w:trPr>
        <w:tc>
          <w:tcPr>
            <w:tcW w:w="2304" w:type="dxa"/>
            <w:tcBorders>
              <w:top w:val="single" w:sz="4" w:space="0" w:color="C8D3BF"/>
              <w:left w:val="single" w:sz="4" w:space="0" w:color="C8D3BF"/>
              <w:bottom w:val="single" w:sz="4" w:space="0" w:color="C8D3BF"/>
              <w:right w:val="single" w:sz="4" w:space="0" w:color="C8D3BF"/>
            </w:tcBorders>
            <w:shd w:val="clear" w:color="auto" w:fill="F6F6F2"/>
          </w:tcPr>
          <w:p>
            <w:pPr>
              <w:pStyle w:val="TableParagraph"/>
              <w:rPr>
                <w:sz w:val="16"/>
              </w:rPr>
            </w:pPr>
            <w:r>
              <w:rPr>
                <w:color w:val="4D565B"/>
                <w:spacing w:val="-2"/>
                <w:w w:val="105"/>
                <w:sz w:val="16"/>
              </w:rPr>
              <w:t>Outputs</w:t>
            </w:r>
          </w:p>
        </w:tc>
        <w:tc>
          <w:tcPr>
            <w:tcW w:w="8064" w:type="dxa"/>
            <w:tcBorders>
              <w:top w:val="single" w:sz="4" w:space="0" w:color="C8D3BF"/>
              <w:left w:val="single" w:sz="4" w:space="0" w:color="C8D3BF"/>
              <w:bottom w:val="single" w:sz="4" w:space="0" w:color="C8D3BF"/>
              <w:right w:val="single" w:sz="4" w:space="0" w:color="C8D3BF"/>
            </w:tcBorders>
            <w:shd w:val="clear" w:color="auto" w:fill="F6F6F2"/>
          </w:tcPr>
          <w:p>
            <w:pPr>
              <w:pStyle w:val="TableParagraph"/>
              <w:spacing w:line="252" w:lineRule="auto"/>
              <w:rPr>
                <w:sz w:val="16"/>
              </w:rPr>
            </w:pPr>
            <w:r>
              <w:rPr>
                <w:color w:val="4D565B"/>
                <w:w w:val="105"/>
                <w:sz w:val="16"/>
              </w:rPr>
              <w:t>Per-dose</w:t>
            </w:r>
            <w:r>
              <w:rPr>
                <w:color w:val="4D565B"/>
                <w:spacing w:val="-7"/>
                <w:w w:val="105"/>
                <w:sz w:val="16"/>
              </w:rPr>
              <w:t> </w:t>
            </w:r>
            <w:r>
              <w:rPr>
                <w:color w:val="4D565B"/>
                <w:w w:val="105"/>
                <w:sz w:val="16"/>
              </w:rPr>
              <w:t>spread,</w:t>
            </w:r>
            <w:r>
              <w:rPr>
                <w:color w:val="4D565B"/>
                <w:spacing w:val="-7"/>
                <w:w w:val="105"/>
                <w:sz w:val="16"/>
              </w:rPr>
              <w:t> </w:t>
            </w:r>
            <w:r>
              <w:rPr>
                <w:color w:val="4D565B"/>
                <w:w w:val="105"/>
                <w:sz w:val="16"/>
              </w:rPr>
              <w:t>total</w:t>
            </w:r>
            <w:r>
              <w:rPr>
                <w:color w:val="4D565B"/>
                <w:spacing w:val="-7"/>
                <w:w w:val="105"/>
                <w:sz w:val="16"/>
              </w:rPr>
              <w:t> </w:t>
            </w:r>
            <w:r>
              <w:rPr>
                <w:color w:val="4D565B"/>
                <w:w w:val="105"/>
                <w:sz w:val="16"/>
              </w:rPr>
              <w:t>operating</w:t>
            </w:r>
            <w:r>
              <w:rPr>
                <w:color w:val="4D565B"/>
                <w:spacing w:val="-7"/>
                <w:w w:val="105"/>
                <w:sz w:val="16"/>
              </w:rPr>
              <w:t> </w:t>
            </w:r>
            <w:r>
              <w:rPr>
                <w:color w:val="4D565B"/>
                <w:w w:val="105"/>
                <w:sz w:val="16"/>
              </w:rPr>
              <w:t>margin,</w:t>
            </w:r>
            <w:r>
              <w:rPr>
                <w:color w:val="4D565B"/>
                <w:spacing w:val="-7"/>
                <w:w w:val="105"/>
                <w:sz w:val="16"/>
              </w:rPr>
              <w:t> </w:t>
            </w:r>
            <w:r>
              <w:rPr>
                <w:color w:val="4D565B"/>
                <w:w w:val="105"/>
                <w:sz w:val="16"/>
              </w:rPr>
              <w:t>annualized</w:t>
            </w:r>
            <w:r>
              <w:rPr>
                <w:color w:val="4D565B"/>
                <w:spacing w:val="-7"/>
                <w:w w:val="105"/>
                <w:sz w:val="16"/>
              </w:rPr>
              <w:t> </w:t>
            </w:r>
            <w:r>
              <w:rPr>
                <w:color w:val="4D565B"/>
                <w:w w:val="105"/>
                <w:sz w:val="16"/>
              </w:rPr>
              <w:t>contribution,</w:t>
            </w:r>
            <w:r>
              <w:rPr>
                <w:color w:val="4D565B"/>
                <w:spacing w:val="-7"/>
                <w:w w:val="105"/>
                <w:sz w:val="16"/>
              </w:rPr>
              <w:t> </w:t>
            </w:r>
            <w:r>
              <w:rPr>
                <w:color w:val="4D565B"/>
                <w:w w:val="105"/>
                <w:sz w:val="16"/>
              </w:rPr>
              <w:t>working</w:t>
            </w:r>
            <w:r>
              <w:rPr>
                <w:color w:val="4D565B"/>
                <w:spacing w:val="-7"/>
                <w:w w:val="105"/>
                <w:sz w:val="16"/>
              </w:rPr>
              <w:t> </w:t>
            </w:r>
            <w:r>
              <w:rPr>
                <w:color w:val="4D565B"/>
                <w:w w:val="105"/>
                <w:sz w:val="16"/>
              </w:rPr>
              <w:t>capital</w:t>
            </w:r>
            <w:r>
              <w:rPr>
                <w:color w:val="4D565B"/>
                <w:spacing w:val="-7"/>
                <w:w w:val="105"/>
                <w:sz w:val="16"/>
              </w:rPr>
              <w:t> </w:t>
            </w:r>
            <w:r>
              <w:rPr>
                <w:color w:val="4D565B"/>
                <w:w w:val="105"/>
                <w:sz w:val="16"/>
              </w:rPr>
              <w:t>at</w:t>
            </w:r>
            <w:r>
              <w:rPr>
                <w:color w:val="4D565B"/>
                <w:spacing w:val="-7"/>
                <w:w w:val="105"/>
                <w:sz w:val="16"/>
              </w:rPr>
              <w:t> </w:t>
            </w:r>
            <w:r>
              <w:rPr>
                <w:color w:val="4D565B"/>
                <w:w w:val="105"/>
                <w:sz w:val="16"/>
              </w:rPr>
              <w:t>risk,</w:t>
            </w:r>
            <w:r>
              <w:rPr>
                <w:color w:val="4D565B"/>
                <w:spacing w:val="-7"/>
                <w:w w:val="105"/>
                <w:sz w:val="16"/>
              </w:rPr>
              <w:t> </w:t>
            </w:r>
            <w:r>
              <w:rPr>
                <w:color w:val="4D565B"/>
                <w:w w:val="105"/>
                <w:sz w:val="16"/>
              </w:rPr>
              <w:t>and</w:t>
            </w:r>
            <w:r>
              <w:rPr>
                <w:color w:val="4D565B"/>
                <w:spacing w:val="-7"/>
                <w:w w:val="105"/>
                <w:sz w:val="16"/>
              </w:rPr>
              <w:t> </w:t>
            </w:r>
            <w:r>
              <w:rPr>
                <w:color w:val="4D565B"/>
                <w:w w:val="105"/>
                <w:sz w:val="16"/>
              </w:rPr>
              <w:t>break-even support threshold by payer and site.</w:t>
            </w:r>
          </w:p>
        </w:tc>
      </w:tr>
    </w:tbl>
    <w:p>
      <w:pPr>
        <w:pStyle w:val="BodyText"/>
        <w:spacing w:before="186"/>
      </w:pPr>
    </w:p>
    <w:p>
      <w:pPr>
        <w:pStyle w:val="Heading2"/>
      </w:pPr>
      <w:r>
        <w:rPr>
          <w:color w:val="5B8C2B"/>
          <w:spacing w:val="-2"/>
        </w:rPr>
        <w:t>Recommended</w:t>
      </w:r>
      <w:r>
        <w:rPr>
          <w:color w:val="5B8C2B"/>
          <w:spacing w:val="3"/>
        </w:rPr>
        <w:t> </w:t>
      </w:r>
      <w:r>
        <w:rPr>
          <w:color w:val="5B8C2B"/>
          <w:spacing w:val="-2"/>
        </w:rPr>
        <w:t>format</w:t>
      </w:r>
    </w:p>
    <w:p>
      <w:pPr>
        <w:pStyle w:val="BodyText"/>
        <w:spacing w:line="283" w:lineRule="auto" w:before="126"/>
        <w:ind w:left="436" w:right="433"/>
      </w:pPr>
      <w:r>
        <w:rPr>
          <w:color w:val="4D565B"/>
        </w:rPr>
        <w:t>The best form for this model is an internal calculator with a clean front-end summary and a transparent assumption backend. In practice, that means either a disciplined Excel model with locked formulas and scenario toggles or a lightweight web calculator that replicates the same logic. The front end will show one-page summaries for </w:t>
      </w:r>
      <w:r>
        <w:rPr>
          <w:color w:val="4D565B"/>
        </w:rPr>
        <w:t>commercial buy-and-bill, commercial white-bagging, Medicaid non-340B, Medicaid 340B, and hospital outpatient pass-through scenarios. The backend will hold the formula logic, public benchmark references, payer-policy notes, and</w:t>
      </w:r>
    </w:p>
    <w:p>
      <w:pPr>
        <w:pStyle w:val="BodyText"/>
        <w:spacing w:before="4"/>
        <w:ind w:left="436"/>
      </w:pPr>
      <w:r>
        <w:rPr>
          <w:color w:val="4D565B"/>
        </w:rPr>
        <w:t>center-specific</w:t>
      </w:r>
      <w:r>
        <w:rPr>
          <w:color w:val="4D565B"/>
          <w:spacing w:val="11"/>
        </w:rPr>
        <w:t> </w:t>
      </w:r>
      <w:r>
        <w:rPr>
          <w:color w:val="4D565B"/>
        </w:rPr>
        <w:t>assumptions.</w:t>
      </w:r>
      <w:r>
        <w:rPr>
          <w:color w:val="4D565B"/>
          <w:spacing w:val="12"/>
        </w:rPr>
        <w:t> </w:t>
      </w:r>
      <w:r>
        <w:rPr>
          <w:color w:val="4D565B"/>
          <w:spacing w:val="-2"/>
        </w:rPr>
        <w:t>[3][12][13][14][15]</w:t>
      </w:r>
    </w:p>
    <w:p>
      <w:pPr>
        <w:pStyle w:val="BodyText"/>
        <w:spacing w:line="283" w:lineRule="auto" w:before="182"/>
        <w:ind w:left="436" w:right="521"/>
      </w:pPr>
      <w:r>
        <w:rPr>
          <w:color w:val="4D565B"/>
        </w:rPr>
        <w:t>The model will also output two practical action lists. The first is a contracting list: which hospital systems, PBMs, specialty pharmacies, and payers create the most favorable launch pathway. The second is a support list: which provider-facing rebate, discount, bridge, or patient-support action closes the economic gap fastest without obscuring the true reimbursement risk. That output is what makes the model useful to the launch team rather than just analytically interesting. [3][6][7]</w:t>
      </w:r>
    </w:p>
    <w:p>
      <w:pPr>
        <w:pStyle w:val="BodyText"/>
        <w:spacing w:before="13"/>
      </w:pPr>
    </w:p>
    <w:p>
      <w:pPr>
        <w:pStyle w:val="Heading2"/>
      </w:pPr>
      <w:r>
        <w:rPr>
          <w:color w:val="5B8C2B"/>
        </w:rPr>
        <w:t>Launch</w:t>
      </w:r>
      <w:r>
        <w:rPr>
          <w:color w:val="5B8C2B"/>
          <w:spacing w:val="-10"/>
        </w:rPr>
        <w:t> </w:t>
      </w:r>
      <w:r>
        <w:rPr>
          <w:color w:val="5B8C2B"/>
          <w:spacing w:val="-2"/>
        </w:rPr>
        <w:t>realities</w:t>
      </w:r>
    </w:p>
    <w:p>
      <w:pPr>
        <w:pStyle w:val="BodyText"/>
        <w:spacing w:line="283" w:lineRule="auto" w:before="126"/>
        <w:ind w:left="436" w:right="521"/>
      </w:pPr>
      <w:r>
        <w:rPr>
          <w:color w:val="4D565B"/>
        </w:rPr>
        <w:t>Adrabetadex will not launch into a frictionless market. It will launch into a tightly managed medical-benefit environment where commercial payers can require specialist prescribing, positive response for </w:t>
      </w:r>
      <w:r>
        <w:rPr>
          <w:color w:val="4D565B"/>
        </w:rPr>
        <w:t>continuation,</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45"/>
        <w:rPr>
          <w:sz w:val="16"/>
        </w:rPr>
      </w:pPr>
    </w:p>
    <w:p>
      <w:pPr>
        <w:spacing w:before="0"/>
        <w:ind w:left="0" w:right="113" w:firstLine="0"/>
        <w:jc w:val="right"/>
        <w:rPr>
          <w:sz w:val="16"/>
        </w:rPr>
      </w:pPr>
      <w:r>
        <w:rPr>
          <w:color w:val="6E7579"/>
          <w:sz w:val="16"/>
        </w:rPr>
        <w:t>Page </w:t>
      </w:r>
      <w:r>
        <w:rPr>
          <w:color w:val="6E7579"/>
          <w:spacing w:val="-10"/>
          <w:sz w:val="16"/>
        </w:rPr>
        <w:t>4</w:t>
      </w:r>
    </w:p>
    <w:p>
      <w:pPr>
        <w:spacing w:after="0"/>
        <w:jc w:val="right"/>
        <w:rPr>
          <w:sz w:val="16"/>
        </w:rPr>
        <w:sectPr>
          <w:pgSz w:w="12240" w:h="15840"/>
          <w:pgMar w:top="1820" w:bottom="280" w:left="720" w:right="720"/>
        </w:sectPr>
      </w:pPr>
    </w:p>
    <w:p>
      <w:pPr>
        <w:pStyle w:val="BodyText"/>
        <w:spacing w:line="283" w:lineRule="auto" w:before="78"/>
        <w:ind w:left="436" w:right="433"/>
      </w:pPr>
      <w:r>
        <w:rPr/>
        <mc:AlternateContent>
          <mc:Choice Requires="wps">
            <w:drawing>
              <wp:anchor distT="0" distB="0" distL="0" distR="0" allowOverlap="1" layoutInCell="1" locked="0" behindDoc="1" simplePos="0" relativeHeight="487281152">
                <wp:simplePos x="0" y="0"/>
                <wp:positionH relativeFrom="page">
                  <wp:posOffset>0</wp:posOffset>
                </wp:positionH>
                <wp:positionV relativeFrom="page">
                  <wp:posOffset>0</wp:posOffset>
                </wp:positionV>
                <wp:extent cx="7772400" cy="10058400"/>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7772400" cy="10058400"/>
                          <a:chExt cx="7772400" cy="10058400"/>
                        </a:xfrm>
                      </wpg:grpSpPr>
                      <pic:pic>
                        <pic:nvPicPr>
                          <pic:cNvPr id="44" name="Image 44"/>
                          <pic:cNvPicPr/>
                        </pic:nvPicPr>
                        <pic:blipFill>
                          <a:blip r:embed="rId5" cstate="print"/>
                          <a:stretch>
                            <a:fillRect/>
                          </a:stretch>
                        </pic:blipFill>
                        <pic:spPr>
                          <a:xfrm>
                            <a:off x="0" y="0"/>
                            <a:ext cx="7772400" cy="10058400"/>
                          </a:xfrm>
                          <a:prstGeom prst="rect">
                            <a:avLst/>
                          </a:prstGeom>
                        </pic:spPr>
                      </pic:pic>
                      <pic:pic>
                        <pic:nvPicPr>
                          <pic:cNvPr id="45" name="Image 45"/>
                          <pic:cNvPicPr/>
                        </pic:nvPicPr>
                        <pic:blipFill>
                          <a:blip r:embed="rId6" cstate="print"/>
                          <a:stretch>
                            <a:fillRect/>
                          </a:stretch>
                        </pic:blipFill>
                        <pic:spPr>
                          <a:xfrm>
                            <a:off x="393191" y="9595713"/>
                            <a:ext cx="960119" cy="87782"/>
                          </a:xfrm>
                          <a:prstGeom prst="rect">
                            <a:avLst/>
                          </a:prstGeom>
                        </pic:spPr>
                      </pic:pic>
                    </wpg:wgp>
                  </a:graphicData>
                </a:graphic>
              </wp:anchor>
            </w:drawing>
          </mc:Choice>
          <mc:Fallback>
            <w:pict>
              <v:group style="position:absolute;margin-left:0pt;margin-top:0pt;width:612pt;height:792pt;mso-position-horizontal-relative:page;mso-position-vertical-relative:page;z-index:-16035328" id="docshapegroup43" coordorigin="0,0" coordsize="12240,15840">
                <v:shape style="position:absolute;left:0;top:0;width:12240;height:15840" type="#_x0000_t75" id="docshape44" stroked="false">
                  <v:imagedata r:id="rId5" o:title=""/>
                </v:shape>
                <v:shape style="position:absolute;left:619;top:15111;width:1512;height:139" type="#_x0000_t75" id="docshape45" stroked="false">
                  <v:imagedata r:id="rId6" o:title=""/>
                </v:shape>
                <w10:wrap type="none"/>
              </v:group>
            </w:pict>
          </mc:Fallback>
        </mc:AlternateContent>
      </w:r>
      <w:r>
        <w:rPr>
          <w:color w:val="4D565B"/>
        </w:rPr>
        <w:t>alternate sites of care, or specialty-pharmacy sourcing. Medicaid can cover a medically necessary pediatric therapy and still leave the provider unpaid if PAD or NDC requirements are not met. 340B can make economics highly favorable in hospital systems while making community-site economics comparatively unattractive. Those realities are exactly why the provider net cost calculator is needed before launch. [4][5][6][7][8][9][10][11][16]</w:t>
      </w:r>
    </w:p>
    <w:p>
      <w:pPr>
        <w:pStyle w:val="BodyText"/>
        <w:spacing w:line="283" w:lineRule="auto" w:before="144"/>
        <w:ind w:left="436" w:right="435"/>
      </w:pPr>
      <w:r>
        <w:rPr>
          <w:color w:val="4D565B"/>
        </w:rPr>
        <w:t>The launch opportunity is still substantial. Strong survival data, a highly concentrated treatment population, and a hospital-centered care pathway mean that Beren can shape uptake if it contracts deliberately. The best path is to use the calculator to prioritize centers of excellence, identify where PBM or specialty-pharmacy rules will force channel decisions, quantify the value of targeted non-340B support, and build pass-through and HCPCS readiness into the hospital-outpatient launch sequence. [1][2][3][6][13][14]</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4"/>
        <w:rPr>
          <w:sz w:val="16"/>
        </w:rPr>
      </w:pPr>
    </w:p>
    <w:p>
      <w:pPr>
        <w:spacing w:before="1"/>
        <w:ind w:left="0" w:right="113" w:firstLine="0"/>
        <w:jc w:val="right"/>
        <w:rPr>
          <w:sz w:val="16"/>
        </w:rPr>
      </w:pPr>
      <w:r>
        <w:rPr>
          <w:color w:val="6E7579"/>
          <w:sz w:val="16"/>
        </w:rPr>
        <w:t>Page </w:t>
      </w:r>
      <w:r>
        <w:rPr>
          <w:color w:val="6E7579"/>
          <w:spacing w:val="-10"/>
          <w:sz w:val="16"/>
        </w:rPr>
        <w:t>5</w:t>
      </w:r>
    </w:p>
    <w:p>
      <w:pPr>
        <w:spacing w:after="0"/>
        <w:jc w:val="right"/>
        <w:rPr>
          <w:sz w:val="16"/>
        </w:rPr>
        <w:sectPr>
          <w:pgSz w:w="12240" w:h="15840"/>
          <w:pgMar w:top="1820" w:bottom="280" w:left="720" w:right="720"/>
        </w:sectPr>
      </w:pPr>
    </w:p>
    <w:p>
      <w:pPr>
        <w:pStyle w:val="Heading2"/>
        <w:spacing w:before="76"/>
      </w:pPr>
      <w:r>
        <w:rPr/>
        <mc:AlternateContent>
          <mc:Choice Requires="wps">
            <w:drawing>
              <wp:anchor distT="0" distB="0" distL="0" distR="0" allowOverlap="1" layoutInCell="1" locked="0" behindDoc="1" simplePos="0" relativeHeight="487281664">
                <wp:simplePos x="0" y="0"/>
                <wp:positionH relativeFrom="page">
                  <wp:posOffset>0</wp:posOffset>
                </wp:positionH>
                <wp:positionV relativeFrom="page">
                  <wp:posOffset>0</wp:posOffset>
                </wp:positionV>
                <wp:extent cx="7772400" cy="10058400"/>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7772400" cy="10058400"/>
                          <a:chExt cx="7772400" cy="10058400"/>
                        </a:xfrm>
                      </wpg:grpSpPr>
                      <pic:pic>
                        <pic:nvPicPr>
                          <pic:cNvPr id="47" name="Image 47"/>
                          <pic:cNvPicPr/>
                        </pic:nvPicPr>
                        <pic:blipFill>
                          <a:blip r:embed="rId5" cstate="print"/>
                          <a:stretch>
                            <a:fillRect/>
                          </a:stretch>
                        </pic:blipFill>
                        <pic:spPr>
                          <a:xfrm>
                            <a:off x="0" y="0"/>
                            <a:ext cx="7772400" cy="10058400"/>
                          </a:xfrm>
                          <a:prstGeom prst="rect">
                            <a:avLst/>
                          </a:prstGeom>
                        </pic:spPr>
                      </pic:pic>
                      <pic:pic>
                        <pic:nvPicPr>
                          <pic:cNvPr id="48" name="Image 48"/>
                          <pic:cNvPicPr/>
                        </pic:nvPicPr>
                        <pic:blipFill>
                          <a:blip r:embed="rId6" cstate="print"/>
                          <a:stretch>
                            <a:fillRect/>
                          </a:stretch>
                        </pic:blipFill>
                        <pic:spPr>
                          <a:xfrm>
                            <a:off x="393191" y="9595713"/>
                            <a:ext cx="960119" cy="87782"/>
                          </a:xfrm>
                          <a:prstGeom prst="rect">
                            <a:avLst/>
                          </a:prstGeom>
                        </pic:spPr>
                      </pic:pic>
                    </wpg:wgp>
                  </a:graphicData>
                </a:graphic>
              </wp:anchor>
            </w:drawing>
          </mc:Choice>
          <mc:Fallback>
            <w:pict>
              <v:group style="position:absolute;margin-left:0pt;margin-top:0pt;width:612pt;height:792pt;mso-position-horizontal-relative:page;mso-position-vertical-relative:page;z-index:-16034816" id="docshapegroup46" coordorigin="0,0" coordsize="12240,15840">
                <v:shape style="position:absolute;left:0;top:0;width:12240;height:15840" type="#_x0000_t75" id="docshape47" stroked="false">
                  <v:imagedata r:id="rId5" o:title=""/>
                </v:shape>
                <v:shape style="position:absolute;left:619;top:15111;width:1512;height:139" type="#_x0000_t75" id="docshape48" stroked="false">
                  <v:imagedata r:id="rId6" o:title=""/>
                </v:shape>
                <w10:wrap type="none"/>
              </v:group>
            </w:pict>
          </mc:Fallback>
        </mc:AlternateContent>
      </w:r>
      <w:r>
        <w:rPr>
          <w:color w:val="5B8C2B"/>
          <w:spacing w:val="-2"/>
        </w:rPr>
        <w:t>Sources</w:t>
      </w:r>
    </w:p>
    <w:p>
      <w:pPr>
        <w:pStyle w:val="BodyText"/>
        <w:rPr>
          <w:b/>
          <w:sz w:val="2"/>
        </w:rPr>
      </w:pPr>
    </w:p>
    <w:p>
      <w:pPr>
        <w:pStyle w:val="BodyText"/>
        <w:rPr>
          <w:b/>
          <w:sz w:val="2"/>
        </w:rPr>
      </w:pPr>
    </w:p>
    <w:p>
      <w:pPr>
        <w:pStyle w:val="BodyText"/>
        <w:rPr>
          <w:b/>
          <w:sz w:val="2"/>
        </w:rPr>
      </w:pPr>
    </w:p>
    <w:p>
      <w:pPr>
        <w:pStyle w:val="BodyText"/>
        <w:spacing w:before="23"/>
        <w:rPr>
          <w:b/>
          <w:sz w:val="2"/>
        </w:rPr>
      </w:pPr>
    </w:p>
    <w:p>
      <w:pPr>
        <w:spacing w:line="15" w:lineRule="exact" w:before="0"/>
        <w:ind w:left="436" w:right="0" w:firstLine="0"/>
        <w:jc w:val="left"/>
        <w:rPr>
          <w:sz w:val="2"/>
        </w:rPr>
      </w:pPr>
      <w:r>
        <w:rPr>
          <w:spacing w:val="-9"/>
          <w:sz w:val="2"/>
        </w:rPr>
        <w:t>•</w:t>
      </w:r>
    </w:p>
    <w:p>
      <w:pPr>
        <w:pStyle w:val="ListParagraph"/>
        <w:numPr>
          <w:ilvl w:val="0"/>
          <w:numId w:val="1"/>
        </w:numPr>
        <w:tabs>
          <w:tab w:pos="1020" w:val="left" w:leader="none"/>
        </w:tabs>
        <w:spacing w:line="183" w:lineRule="exact" w:before="0" w:after="0"/>
        <w:ind w:left="1020" w:right="0" w:hanging="224"/>
        <w:jc w:val="left"/>
        <w:rPr>
          <w:sz w:val="16"/>
        </w:rPr>
      </w:pPr>
      <w:r>
        <w:rPr>
          <w:color w:val="4D565B"/>
          <w:sz w:val="16"/>
        </w:rPr>
        <w:t>Beren</w:t>
      </w:r>
      <w:r>
        <w:rPr>
          <w:color w:val="4D565B"/>
          <w:spacing w:val="5"/>
          <w:sz w:val="16"/>
        </w:rPr>
        <w:t> </w:t>
      </w:r>
      <w:r>
        <w:rPr>
          <w:color w:val="4D565B"/>
          <w:sz w:val="16"/>
        </w:rPr>
        <w:t>Therapeutics</w:t>
      </w:r>
      <w:r>
        <w:rPr>
          <w:color w:val="4D565B"/>
          <w:spacing w:val="6"/>
          <w:sz w:val="16"/>
        </w:rPr>
        <w:t> </w:t>
      </w:r>
      <w:r>
        <w:rPr>
          <w:color w:val="4D565B"/>
          <w:sz w:val="16"/>
        </w:rPr>
        <w:t>/</w:t>
      </w:r>
      <w:r>
        <w:rPr>
          <w:color w:val="4D565B"/>
          <w:spacing w:val="6"/>
          <w:sz w:val="16"/>
        </w:rPr>
        <w:t> </w:t>
      </w:r>
      <w:r>
        <w:rPr>
          <w:color w:val="4D565B"/>
          <w:sz w:val="16"/>
        </w:rPr>
        <w:t>Mandos.</w:t>
      </w:r>
      <w:r>
        <w:rPr>
          <w:color w:val="4D565B"/>
          <w:spacing w:val="6"/>
          <w:sz w:val="16"/>
        </w:rPr>
        <w:t> </w:t>
      </w:r>
      <w:r>
        <w:rPr>
          <w:color w:val="4D565B"/>
          <w:sz w:val="16"/>
        </w:rPr>
        <w:t>Adrabetadex</w:t>
      </w:r>
      <w:r>
        <w:rPr>
          <w:color w:val="4D565B"/>
          <w:spacing w:val="5"/>
          <w:sz w:val="16"/>
        </w:rPr>
        <w:t> </w:t>
      </w:r>
      <w:r>
        <w:rPr>
          <w:color w:val="4D565B"/>
          <w:sz w:val="16"/>
        </w:rPr>
        <w:t>Pre-approval</w:t>
      </w:r>
      <w:r>
        <w:rPr>
          <w:color w:val="4D565B"/>
          <w:spacing w:val="6"/>
          <w:sz w:val="16"/>
        </w:rPr>
        <w:t> </w:t>
      </w:r>
      <w:r>
        <w:rPr>
          <w:color w:val="4D565B"/>
          <w:sz w:val="16"/>
        </w:rPr>
        <w:t>Information</w:t>
      </w:r>
      <w:r>
        <w:rPr>
          <w:color w:val="4D565B"/>
          <w:spacing w:val="6"/>
          <w:sz w:val="16"/>
        </w:rPr>
        <w:t> </w:t>
      </w:r>
      <w:r>
        <w:rPr>
          <w:color w:val="4D565B"/>
          <w:sz w:val="16"/>
        </w:rPr>
        <w:t>Exchange</w:t>
      </w:r>
      <w:r>
        <w:rPr>
          <w:color w:val="4D565B"/>
          <w:spacing w:val="6"/>
          <w:sz w:val="16"/>
        </w:rPr>
        <w:t> </w:t>
      </w:r>
      <w:r>
        <w:rPr>
          <w:color w:val="4D565B"/>
          <w:sz w:val="16"/>
        </w:rPr>
        <w:t>deck</w:t>
      </w:r>
      <w:r>
        <w:rPr>
          <w:color w:val="4D565B"/>
          <w:spacing w:val="6"/>
          <w:sz w:val="16"/>
        </w:rPr>
        <w:t> </w:t>
      </w:r>
      <w:r>
        <w:rPr>
          <w:color w:val="4D565B"/>
          <w:sz w:val="16"/>
        </w:rPr>
        <w:t>provided</w:t>
      </w:r>
      <w:r>
        <w:rPr>
          <w:color w:val="4D565B"/>
          <w:spacing w:val="5"/>
          <w:sz w:val="16"/>
        </w:rPr>
        <w:t> </w:t>
      </w:r>
      <w:r>
        <w:rPr>
          <w:color w:val="4D565B"/>
          <w:sz w:val="16"/>
        </w:rPr>
        <w:t>by</w:t>
      </w:r>
      <w:r>
        <w:rPr>
          <w:color w:val="4D565B"/>
          <w:spacing w:val="6"/>
          <w:sz w:val="16"/>
        </w:rPr>
        <w:t> </w:t>
      </w:r>
      <w:r>
        <w:rPr>
          <w:color w:val="4D565B"/>
          <w:sz w:val="16"/>
        </w:rPr>
        <w:t>client,</w:t>
      </w:r>
      <w:r>
        <w:rPr>
          <w:color w:val="4D565B"/>
          <w:spacing w:val="6"/>
          <w:sz w:val="16"/>
        </w:rPr>
        <w:t> </w:t>
      </w:r>
      <w:r>
        <w:rPr>
          <w:color w:val="4D565B"/>
          <w:sz w:val="16"/>
        </w:rPr>
        <w:t>February</w:t>
      </w:r>
      <w:r>
        <w:rPr>
          <w:color w:val="4D565B"/>
          <w:spacing w:val="6"/>
          <w:sz w:val="16"/>
        </w:rPr>
        <w:t> </w:t>
      </w:r>
      <w:r>
        <w:rPr>
          <w:color w:val="4D565B"/>
          <w:spacing w:val="-2"/>
          <w:sz w:val="16"/>
        </w:rPr>
        <w:t>2026.</w:t>
      </w:r>
    </w:p>
    <w:p>
      <w:pPr>
        <w:pStyle w:val="BodyText"/>
        <w:rPr>
          <w:sz w:val="2"/>
        </w:rPr>
      </w:pPr>
    </w:p>
    <w:p>
      <w:pPr>
        <w:pStyle w:val="BodyText"/>
        <w:rPr>
          <w:sz w:val="2"/>
        </w:rPr>
      </w:pPr>
    </w:p>
    <w:p>
      <w:pPr>
        <w:pStyle w:val="BodyText"/>
        <w:rPr>
          <w:sz w:val="2"/>
        </w:rPr>
      </w:pPr>
    </w:p>
    <w:p>
      <w:pPr>
        <w:pStyle w:val="BodyText"/>
        <w:rPr>
          <w:sz w:val="2"/>
        </w:rPr>
      </w:pPr>
    </w:p>
    <w:p>
      <w:pPr>
        <w:pStyle w:val="BodyText"/>
        <w:spacing w:before="2"/>
        <w:rPr>
          <w:sz w:val="2"/>
        </w:rPr>
      </w:pPr>
    </w:p>
    <w:p>
      <w:pPr>
        <w:spacing w:line="15" w:lineRule="exact" w:before="0"/>
        <w:ind w:left="436" w:right="0" w:firstLine="0"/>
        <w:jc w:val="left"/>
        <w:rPr>
          <w:sz w:val="2"/>
        </w:rPr>
      </w:pPr>
      <w:r>
        <w:rPr>
          <w:spacing w:val="-9"/>
          <w:sz w:val="2"/>
        </w:rPr>
        <w:t>•</w:t>
      </w:r>
    </w:p>
    <w:p>
      <w:pPr>
        <w:pStyle w:val="ListParagraph"/>
        <w:numPr>
          <w:ilvl w:val="0"/>
          <w:numId w:val="1"/>
        </w:numPr>
        <w:tabs>
          <w:tab w:pos="1020" w:val="left" w:leader="none"/>
        </w:tabs>
        <w:spacing w:line="183" w:lineRule="exact" w:before="0" w:after="0"/>
        <w:ind w:left="1020" w:right="0" w:hanging="224"/>
        <w:jc w:val="left"/>
        <w:rPr>
          <w:sz w:val="16"/>
        </w:rPr>
      </w:pPr>
      <w:r>
        <w:rPr>
          <w:color w:val="4D565B"/>
          <w:sz w:val="16"/>
        </w:rPr>
        <w:t>Beren</w:t>
      </w:r>
      <w:r>
        <w:rPr>
          <w:color w:val="4D565B"/>
          <w:spacing w:val="5"/>
          <w:sz w:val="16"/>
        </w:rPr>
        <w:t> </w:t>
      </w:r>
      <w:r>
        <w:rPr>
          <w:color w:val="4D565B"/>
          <w:sz w:val="16"/>
        </w:rPr>
        <w:t>Therapeutics.</w:t>
      </w:r>
      <w:r>
        <w:rPr>
          <w:color w:val="4D565B"/>
          <w:spacing w:val="5"/>
          <w:sz w:val="16"/>
        </w:rPr>
        <w:t> </w:t>
      </w:r>
      <w:r>
        <w:rPr>
          <w:color w:val="4D565B"/>
          <w:sz w:val="16"/>
        </w:rPr>
        <w:t>Project</w:t>
      </w:r>
      <w:r>
        <w:rPr>
          <w:color w:val="4D565B"/>
          <w:spacing w:val="5"/>
          <w:sz w:val="16"/>
        </w:rPr>
        <w:t> </w:t>
      </w:r>
      <w:r>
        <w:rPr>
          <w:color w:val="4D565B"/>
          <w:sz w:val="16"/>
        </w:rPr>
        <w:t>Castar</w:t>
      </w:r>
      <w:r>
        <w:rPr>
          <w:color w:val="4D565B"/>
          <w:spacing w:val="5"/>
          <w:sz w:val="16"/>
        </w:rPr>
        <w:t> </w:t>
      </w:r>
      <w:r>
        <w:rPr>
          <w:color w:val="4D565B"/>
          <w:sz w:val="16"/>
        </w:rPr>
        <w:t>internal</w:t>
      </w:r>
      <w:r>
        <w:rPr>
          <w:color w:val="4D565B"/>
          <w:spacing w:val="5"/>
          <w:sz w:val="16"/>
        </w:rPr>
        <w:t> </w:t>
      </w:r>
      <w:r>
        <w:rPr>
          <w:color w:val="4D565B"/>
          <w:sz w:val="16"/>
        </w:rPr>
        <w:t>training</w:t>
      </w:r>
      <w:r>
        <w:rPr>
          <w:color w:val="4D565B"/>
          <w:spacing w:val="5"/>
          <w:sz w:val="16"/>
        </w:rPr>
        <w:t> </w:t>
      </w:r>
      <w:r>
        <w:rPr>
          <w:color w:val="4D565B"/>
          <w:sz w:val="16"/>
        </w:rPr>
        <w:t>deck</w:t>
      </w:r>
      <w:r>
        <w:rPr>
          <w:color w:val="4D565B"/>
          <w:spacing w:val="5"/>
          <w:sz w:val="16"/>
        </w:rPr>
        <w:t> </w:t>
      </w:r>
      <w:r>
        <w:rPr>
          <w:color w:val="4D565B"/>
          <w:sz w:val="16"/>
        </w:rPr>
        <w:t>provided</w:t>
      </w:r>
      <w:r>
        <w:rPr>
          <w:color w:val="4D565B"/>
          <w:spacing w:val="5"/>
          <w:sz w:val="16"/>
        </w:rPr>
        <w:t> </w:t>
      </w:r>
      <w:r>
        <w:rPr>
          <w:color w:val="4D565B"/>
          <w:sz w:val="16"/>
        </w:rPr>
        <w:t>by</w:t>
      </w:r>
      <w:r>
        <w:rPr>
          <w:color w:val="4D565B"/>
          <w:spacing w:val="5"/>
          <w:sz w:val="16"/>
        </w:rPr>
        <w:t> </w:t>
      </w:r>
      <w:r>
        <w:rPr>
          <w:color w:val="4D565B"/>
          <w:sz w:val="16"/>
        </w:rPr>
        <w:t>client,</w:t>
      </w:r>
      <w:r>
        <w:rPr>
          <w:color w:val="4D565B"/>
          <w:spacing w:val="5"/>
          <w:sz w:val="16"/>
        </w:rPr>
        <w:t> </w:t>
      </w:r>
      <w:r>
        <w:rPr>
          <w:color w:val="4D565B"/>
          <w:sz w:val="16"/>
        </w:rPr>
        <w:t>January</w:t>
      </w:r>
      <w:r>
        <w:rPr>
          <w:color w:val="4D565B"/>
          <w:spacing w:val="5"/>
          <w:sz w:val="16"/>
        </w:rPr>
        <w:t> </w:t>
      </w:r>
      <w:r>
        <w:rPr>
          <w:color w:val="4D565B"/>
          <w:spacing w:val="-2"/>
          <w:sz w:val="16"/>
        </w:rPr>
        <w:t>2026.</w:t>
      </w:r>
    </w:p>
    <w:p>
      <w:pPr>
        <w:pStyle w:val="BodyText"/>
        <w:rPr>
          <w:sz w:val="2"/>
        </w:rPr>
      </w:pPr>
    </w:p>
    <w:p>
      <w:pPr>
        <w:pStyle w:val="BodyText"/>
        <w:rPr>
          <w:sz w:val="2"/>
        </w:rPr>
      </w:pPr>
    </w:p>
    <w:p>
      <w:pPr>
        <w:pStyle w:val="BodyText"/>
        <w:rPr>
          <w:sz w:val="2"/>
        </w:rPr>
      </w:pPr>
    </w:p>
    <w:p>
      <w:pPr>
        <w:pStyle w:val="BodyText"/>
        <w:rPr>
          <w:sz w:val="2"/>
        </w:rPr>
      </w:pPr>
    </w:p>
    <w:p>
      <w:pPr>
        <w:pStyle w:val="BodyText"/>
        <w:spacing w:before="2"/>
        <w:rPr>
          <w:sz w:val="2"/>
        </w:rPr>
      </w:pPr>
    </w:p>
    <w:p>
      <w:pPr>
        <w:spacing w:line="15" w:lineRule="exact" w:before="0"/>
        <w:ind w:left="436" w:right="0" w:firstLine="0"/>
        <w:jc w:val="left"/>
        <w:rPr>
          <w:sz w:val="2"/>
        </w:rPr>
      </w:pPr>
      <w:r>
        <w:rPr>
          <w:spacing w:val="-9"/>
          <w:sz w:val="2"/>
        </w:rPr>
        <w:t>•</w:t>
      </w:r>
    </w:p>
    <w:p>
      <w:pPr>
        <w:pStyle w:val="ListParagraph"/>
        <w:numPr>
          <w:ilvl w:val="0"/>
          <w:numId w:val="1"/>
        </w:numPr>
        <w:tabs>
          <w:tab w:pos="1020" w:val="left" w:leader="none"/>
        </w:tabs>
        <w:spacing w:line="249" w:lineRule="auto" w:before="0" w:after="0"/>
        <w:ind w:left="796" w:right="527" w:firstLine="0"/>
        <w:jc w:val="left"/>
        <w:rPr>
          <w:sz w:val="16"/>
        </w:rPr>
      </w:pPr>
      <w:r>
        <w:rPr>
          <w:color w:val="4D565B"/>
          <w:sz w:val="16"/>
        </w:rPr>
        <w:t>Internal Adrabetadex provider economics working assumptions prepared for concept-brief modeling on March 30, 2026, including WAC of $39,000 per 900 mg vial, 26 administrations per year, commercial discount sensitivities, and provider-support scenarios.</w:t>
      </w:r>
    </w:p>
    <w:p>
      <w:pPr>
        <w:pStyle w:val="BodyText"/>
        <w:rPr>
          <w:sz w:val="2"/>
        </w:rPr>
      </w:pPr>
    </w:p>
    <w:p>
      <w:pPr>
        <w:pStyle w:val="BodyText"/>
        <w:rPr>
          <w:sz w:val="2"/>
        </w:rPr>
      </w:pPr>
    </w:p>
    <w:p>
      <w:pPr>
        <w:pStyle w:val="BodyText"/>
        <w:rPr>
          <w:sz w:val="2"/>
        </w:rPr>
      </w:pPr>
    </w:p>
    <w:p>
      <w:pPr>
        <w:pStyle w:val="BodyText"/>
        <w:spacing w:before="9"/>
        <w:rPr>
          <w:sz w:val="2"/>
        </w:rPr>
      </w:pPr>
    </w:p>
    <w:p>
      <w:pPr>
        <w:spacing w:line="15" w:lineRule="exact" w:before="0"/>
        <w:ind w:left="436" w:right="0" w:firstLine="0"/>
        <w:jc w:val="left"/>
        <w:rPr>
          <w:sz w:val="2"/>
        </w:rPr>
      </w:pPr>
      <w:r>
        <w:rPr>
          <w:spacing w:val="-9"/>
          <w:sz w:val="2"/>
        </w:rPr>
        <w:t>•</w:t>
      </w:r>
    </w:p>
    <w:p>
      <w:pPr>
        <w:pStyle w:val="ListParagraph"/>
        <w:numPr>
          <w:ilvl w:val="0"/>
          <w:numId w:val="1"/>
        </w:numPr>
        <w:tabs>
          <w:tab w:pos="1020" w:val="left" w:leader="none"/>
        </w:tabs>
        <w:spacing w:line="249" w:lineRule="auto" w:before="0" w:after="0"/>
        <w:ind w:left="796" w:right="538" w:firstLine="0"/>
        <w:jc w:val="left"/>
        <w:rPr>
          <w:sz w:val="16"/>
        </w:rPr>
      </w:pPr>
      <w:r>
        <w:rPr>
          <w:color w:val="4D565B"/>
          <w:sz w:val="16"/>
        </w:rPr>
        <w:t>UnitedHealthcare. Miplyffa (arimoclomol) - Prior Authorization / Medical Necessity - Commercial Plans, effective April 1, 2025. </w:t>
      </w:r>
      <w:hyperlink r:id="rId9">
        <w:r>
          <w:rPr>
            <w:color w:val="4D565B"/>
            <w:spacing w:val="-2"/>
            <w:sz w:val="16"/>
          </w:rPr>
          <w:t>https://www.uhcprovider.com/content/dam/provider/docs/public/prior-auth/drugs-pharmacy/commercial/h-p/PA-Med-Nec-</w:t>
        </w:r>
        <w:r>
          <w:rPr>
            <w:color w:val="4D565B"/>
            <w:spacing w:val="-2"/>
            <w:sz w:val="16"/>
          </w:rPr>
          <w:t>Miplyffa.pdf</w:t>
        </w:r>
      </w:hyperlink>
    </w:p>
    <w:p>
      <w:pPr>
        <w:pStyle w:val="BodyText"/>
        <w:rPr>
          <w:sz w:val="2"/>
        </w:rPr>
      </w:pPr>
    </w:p>
    <w:p>
      <w:pPr>
        <w:pStyle w:val="BodyText"/>
        <w:rPr>
          <w:sz w:val="2"/>
        </w:rPr>
      </w:pPr>
    </w:p>
    <w:p>
      <w:pPr>
        <w:pStyle w:val="BodyText"/>
        <w:rPr>
          <w:sz w:val="2"/>
        </w:rPr>
      </w:pPr>
    </w:p>
    <w:p>
      <w:pPr>
        <w:pStyle w:val="BodyText"/>
        <w:spacing w:before="9"/>
        <w:rPr>
          <w:sz w:val="2"/>
        </w:rPr>
      </w:pPr>
    </w:p>
    <w:p>
      <w:pPr>
        <w:spacing w:line="15" w:lineRule="exact" w:before="0"/>
        <w:ind w:left="436" w:right="0" w:firstLine="0"/>
        <w:jc w:val="left"/>
        <w:rPr>
          <w:sz w:val="2"/>
        </w:rPr>
      </w:pPr>
      <w:r>
        <w:rPr>
          <w:spacing w:val="-9"/>
          <w:sz w:val="2"/>
        </w:rPr>
        <w:t>•</w:t>
      </w:r>
    </w:p>
    <w:p>
      <w:pPr>
        <w:pStyle w:val="ListParagraph"/>
        <w:numPr>
          <w:ilvl w:val="0"/>
          <w:numId w:val="1"/>
        </w:numPr>
        <w:tabs>
          <w:tab w:pos="1020" w:val="left" w:leader="none"/>
        </w:tabs>
        <w:spacing w:line="249" w:lineRule="auto" w:before="0" w:after="0"/>
        <w:ind w:left="796" w:right="448" w:firstLine="0"/>
        <w:jc w:val="left"/>
        <w:rPr>
          <w:sz w:val="16"/>
        </w:rPr>
      </w:pPr>
      <w:r>
        <w:rPr>
          <w:color w:val="4D565B"/>
          <w:sz w:val="16"/>
        </w:rPr>
        <w:t>UnitedHealthcare. Aqneursa (levacetylleucine) - Prior Authorization / Medical Necessity - Commercial Plans, effective June 1,</w:t>
      </w:r>
      <w:r>
        <w:rPr>
          <w:color w:val="4D565B"/>
          <w:spacing w:val="80"/>
          <w:sz w:val="16"/>
        </w:rPr>
        <w:t> </w:t>
      </w:r>
      <w:r>
        <w:rPr>
          <w:color w:val="4D565B"/>
          <w:sz w:val="16"/>
        </w:rPr>
        <w:t>2025. </w:t>
      </w:r>
      <w:hyperlink r:id="rId10">
        <w:r>
          <w:rPr>
            <w:color w:val="4D565B"/>
            <w:sz w:val="16"/>
          </w:rPr>
          <w:t>https://www.uhcprovider.com/content/dam/provider/docs/public/prior-auth/drugs-pharmacy/commercial/a-g/PA-Med-Nec-</w:t>
        </w:r>
        <w:r>
          <w:rPr>
            <w:color w:val="4D565B"/>
            <w:sz w:val="16"/>
          </w:rPr>
          <w:t>Aqneu</w:t>
        </w:r>
      </w:hyperlink>
      <w:r>
        <w:rPr>
          <w:color w:val="4D565B"/>
          <w:sz w:val="16"/>
        </w:rPr>
        <w:t> </w:t>
      </w:r>
      <w:r>
        <w:rPr>
          <w:color w:val="4D565B"/>
          <w:spacing w:val="-2"/>
          <w:sz w:val="16"/>
        </w:rPr>
        <w:t>rsa.pdf</w:t>
      </w:r>
    </w:p>
    <w:p>
      <w:pPr>
        <w:pStyle w:val="BodyText"/>
        <w:rPr>
          <w:sz w:val="2"/>
        </w:rPr>
      </w:pPr>
    </w:p>
    <w:p>
      <w:pPr>
        <w:pStyle w:val="BodyText"/>
        <w:rPr>
          <w:sz w:val="2"/>
        </w:rPr>
      </w:pPr>
    </w:p>
    <w:p>
      <w:pPr>
        <w:pStyle w:val="BodyText"/>
        <w:rPr>
          <w:sz w:val="2"/>
        </w:rPr>
      </w:pPr>
    </w:p>
    <w:p>
      <w:pPr>
        <w:pStyle w:val="BodyText"/>
        <w:spacing w:before="10"/>
        <w:rPr>
          <w:sz w:val="2"/>
        </w:rPr>
      </w:pPr>
    </w:p>
    <w:p>
      <w:pPr>
        <w:spacing w:line="15" w:lineRule="exact" w:before="0"/>
        <w:ind w:left="436" w:right="0" w:firstLine="0"/>
        <w:jc w:val="left"/>
        <w:rPr>
          <w:sz w:val="2"/>
        </w:rPr>
      </w:pPr>
      <w:r>
        <w:rPr>
          <w:spacing w:val="-9"/>
          <w:sz w:val="2"/>
        </w:rPr>
        <w:t>•</w:t>
      </w:r>
    </w:p>
    <w:p>
      <w:pPr>
        <w:pStyle w:val="ListParagraph"/>
        <w:numPr>
          <w:ilvl w:val="0"/>
          <w:numId w:val="1"/>
        </w:numPr>
        <w:tabs>
          <w:tab w:pos="1020" w:val="left" w:leader="none"/>
        </w:tabs>
        <w:spacing w:line="249" w:lineRule="auto" w:before="0" w:after="0"/>
        <w:ind w:left="796" w:right="474" w:firstLine="0"/>
        <w:jc w:val="left"/>
        <w:rPr>
          <w:sz w:val="16"/>
        </w:rPr>
      </w:pPr>
      <w:r>
        <w:rPr>
          <w:color w:val="4D565B"/>
          <w:sz w:val="16"/>
        </w:rPr>
        <w:t>UnitedHealthcare. Medication sourcing protocol - Requirements to use a participating specialty pharmacy for certain medications - UnitedHealthcare commercial plans, published June 24, 2025.</w:t>
      </w:r>
    </w:p>
    <w:p>
      <w:pPr>
        <w:spacing w:before="0"/>
        <w:ind w:left="796" w:right="0" w:firstLine="0"/>
        <w:jc w:val="left"/>
        <w:rPr>
          <w:sz w:val="16"/>
        </w:rPr>
      </w:pPr>
      <w:hyperlink r:id="rId11">
        <w:r>
          <w:rPr>
            <w:color w:val="4D565B"/>
            <w:sz w:val="16"/>
          </w:rPr>
          <w:t>https://ams-gateway.uhcprovider.com/content/dam/provider/docs/public/resources/pharmacy/medication-expansion-sourcing-</w:t>
        </w:r>
        <w:r>
          <w:rPr>
            <w:color w:val="4D565B"/>
            <w:spacing w:val="-2"/>
            <w:sz w:val="16"/>
          </w:rPr>
          <w:t>faq.pdf</w:t>
        </w:r>
      </w:hyperlink>
    </w:p>
    <w:p>
      <w:pPr>
        <w:pStyle w:val="BodyText"/>
        <w:rPr>
          <w:sz w:val="2"/>
        </w:rPr>
      </w:pPr>
    </w:p>
    <w:p>
      <w:pPr>
        <w:pStyle w:val="BodyText"/>
        <w:rPr>
          <w:sz w:val="2"/>
        </w:rPr>
      </w:pPr>
    </w:p>
    <w:p>
      <w:pPr>
        <w:pStyle w:val="BodyText"/>
        <w:rPr>
          <w:sz w:val="2"/>
        </w:rPr>
      </w:pPr>
    </w:p>
    <w:p>
      <w:pPr>
        <w:pStyle w:val="BodyText"/>
        <w:spacing w:before="17"/>
        <w:rPr>
          <w:sz w:val="2"/>
        </w:rPr>
      </w:pPr>
    </w:p>
    <w:p>
      <w:pPr>
        <w:spacing w:line="15" w:lineRule="exact" w:before="0"/>
        <w:ind w:left="436" w:right="0" w:firstLine="0"/>
        <w:jc w:val="left"/>
        <w:rPr>
          <w:sz w:val="2"/>
        </w:rPr>
      </w:pPr>
      <w:r>
        <w:rPr>
          <w:spacing w:val="-9"/>
          <w:sz w:val="2"/>
        </w:rPr>
        <w:t>•</w:t>
      </w:r>
    </w:p>
    <w:p>
      <w:pPr>
        <w:pStyle w:val="ListParagraph"/>
        <w:numPr>
          <w:ilvl w:val="0"/>
          <w:numId w:val="1"/>
        </w:numPr>
        <w:tabs>
          <w:tab w:pos="1020" w:val="left" w:leader="none"/>
        </w:tabs>
        <w:spacing w:line="249" w:lineRule="auto" w:before="0" w:after="0"/>
        <w:ind w:left="796" w:right="835" w:firstLine="0"/>
        <w:jc w:val="left"/>
        <w:rPr>
          <w:sz w:val="16"/>
        </w:rPr>
      </w:pPr>
      <w:r>
        <w:rPr>
          <w:color w:val="4D565B"/>
          <w:sz w:val="16"/>
        </w:rPr>
        <w:t>UnitedHealthcare. Provider Administered Drugs - Site of Care - Commercial Medical Benefit Drug Policy, effective January 1, </w:t>
      </w:r>
      <w:r>
        <w:rPr>
          <w:color w:val="4D565B"/>
          <w:spacing w:val="-2"/>
          <w:sz w:val="16"/>
        </w:rPr>
        <w:t>2026.</w:t>
      </w:r>
    </w:p>
    <w:p>
      <w:pPr>
        <w:spacing w:before="0"/>
        <w:ind w:left="796" w:right="0" w:firstLine="0"/>
        <w:jc w:val="left"/>
        <w:rPr>
          <w:sz w:val="16"/>
        </w:rPr>
      </w:pPr>
      <w:hyperlink r:id="rId12">
        <w:r>
          <w:rPr>
            <w:color w:val="4D565B"/>
            <w:sz w:val="16"/>
          </w:rPr>
          <w:t>https://www.uhcprovider.com/content/dam/provider/docs/public/policies/comm-medical-drug/provider-administered-drugs-</w:t>
        </w:r>
        <w:r>
          <w:rPr>
            <w:color w:val="4D565B"/>
            <w:spacing w:val="-2"/>
            <w:sz w:val="16"/>
          </w:rPr>
          <w:t>soc.pdf</w:t>
        </w:r>
      </w:hyperlink>
    </w:p>
    <w:p>
      <w:pPr>
        <w:pStyle w:val="BodyText"/>
        <w:rPr>
          <w:sz w:val="2"/>
        </w:rPr>
      </w:pPr>
    </w:p>
    <w:p>
      <w:pPr>
        <w:pStyle w:val="BodyText"/>
        <w:rPr>
          <w:sz w:val="2"/>
        </w:rPr>
      </w:pPr>
    </w:p>
    <w:p>
      <w:pPr>
        <w:pStyle w:val="BodyText"/>
        <w:rPr>
          <w:sz w:val="2"/>
        </w:rPr>
      </w:pPr>
    </w:p>
    <w:p>
      <w:pPr>
        <w:pStyle w:val="BodyText"/>
        <w:spacing w:before="17"/>
        <w:rPr>
          <w:sz w:val="2"/>
        </w:rPr>
      </w:pPr>
    </w:p>
    <w:p>
      <w:pPr>
        <w:spacing w:line="15" w:lineRule="exact" w:before="0"/>
        <w:ind w:left="436" w:right="0" w:firstLine="0"/>
        <w:jc w:val="left"/>
        <w:rPr>
          <w:sz w:val="2"/>
        </w:rPr>
      </w:pPr>
      <w:r>
        <w:rPr>
          <w:spacing w:val="-9"/>
          <w:sz w:val="2"/>
        </w:rPr>
        <w:t>•</w:t>
      </w:r>
    </w:p>
    <w:p>
      <w:pPr>
        <w:pStyle w:val="ListParagraph"/>
        <w:numPr>
          <w:ilvl w:val="0"/>
          <w:numId w:val="1"/>
        </w:numPr>
        <w:tabs>
          <w:tab w:pos="1020" w:val="left" w:leader="none"/>
        </w:tabs>
        <w:spacing w:line="183" w:lineRule="exact" w:before="0" w:after="0"/>
        <w:ind w:left="1020" w:right="0" w:hanging="224"/>
        <w:jc w:val="left"/>
        <w:rPr>
          <w:sz w:val="16"/>
        </w:rPr>
      </w:pPr>
      <w:r>
        <w:rPr>
          <w:color w:val="4D565B"/>
          <w:sz w:val="16"/>
        </w:rPr>
        <w:t>HRSA.</w:t>
      </w:r>
      <w:r>
        <w:rPr>
          <w:color w:val="4D565B"/>
          <w:spacing w:val="8"/>
          <w:sz w:val="16"/>
        </w:rPr>
        <w:t> </w:t>
      </w:r>
      <w:r>
        <w:rPr>
          <w:color w:val="4D565B"/>
          <w:sz w:val="16"/>
        </w:rPr>
        <w:t>How</w:t>
      </w:r>
      <w:r>
        <w:rPr>
          <w:color w:val="4D565B"/>
          <w:spacing w:val="9"/>
          <w:sz w:val="16"/>
        </w:rPr>
        <w:t> </w:t>
      </w:r>
      <w:r>
        <w:rPr>
          <w:color w:val="4D565B"/>
          <w:sz w:val="16"/>
        </w:rPr>
        <w:t>is</w:t>
      </w:r>
      <w:r>
        <w:rPr>
          <w:color w:val="4D565B"/>
          <w:spacing w:val="9"/>
          <w:sz w:val="16"/>
        </w:rPr>
        <w:t> </w:t>
      </w:r>
      <w:r>
        <w:rPr>
          <w:color w:val="4D565B"/>
          <w:sz w:val="16"/>
        </w:rPr>
        <w:t>the</w:t>
      </w:r>
      <w:r>
        <w:rPr>
          <w:color w:val="4D565B"/>
          <w:spacing w:val="9"/>
          <w:sz w:val="16"/>
        </w:rPr>
        <w:t> </w:t>
      </w:r>
      <w:r>
        <w:rPr>
          <w:color w:val="4D565B"/>
          <w:sz w:val="16"/>
        </w:rPr>
        <w:t>340B</w:t>
      </w:r>
      <w:r>
        <w:rPr>
          <w:color w:val="4D565B"/>
          <w:spacing w:val="9"/>
          <w:sz w:val="16"/>
        </w:rPr>
        <w:t> </w:t>
      </w:r>
      <w:r>
        <w:rPr>
          <w:color w:val="4D565B"/>
          <w:sz w:val="16"/>
        </w:rPr>
        <w:t>ceiling</w:t>
      </w:r>
      <w:r>
        <w:rPr>
          <w:color w:val="4D565B"/>
          <w:spacing w:val="9"/>
          <w:sz w:val="16"/>
        </w:rPr>
        <w:t> </w:t>
      </w:r>
      <w:r>
        <w:rPr>
          <w:color w:val="4D565B"/>
          <w:sz w:val="16"/>
        </w:rPr>
        <w:t>price</w:t>
      </w:r>
      <w:r>
        <w:rPr>
          <w:color w:val="4D565B"/>
          <w:spacing w:val="9"/>
          <w:sz w:val="16"/>
        </w:rPr>
        <w:t> </w:t>
      </w:r>
      <w:r>
        <w:rPr>
          <w:color w:val="4D565B"/>
          <w:sz w:val="16"/>
        </w:rPr>
        <w:t>calculated?</w:t>
      </w:r>
      <w:r>
        <w:rPr>
          <w:color w:val="4D565B"/>
          <w:spacing w:val="9"/>
          <w:sz w:val="16"/>
        </w:rPr>
        <w:t> </w:t>
      </w:r>
      <w:hyperlink r:id="rId13">
        <w:r>
          <w:rPr>
            <w:color w:val="4D565B"/>
            <w:sz w:val="16"/>
          </w:rPr>
          <w:t>https://www.hrsa.gov/about/faqs/how-340b-ceiling-price-</w:t>
        </w:r>
        <w:r>
          <w:rPr>
            <w:color w:val="4D565B"/>
            <w:spacing w:val="-2"/>
            <w:sz w:val="16"/>
          </w:rPr>
          <w:t>calculated</w:t>
        </w:r>
      </w:hyperlink>
    </w:p>
    <w:p>
      <w:pPr>
        <w:pStyle w:val="BodyText"/>
        <w:rPr>
          <w:sz w:val="2"/>
        </w:rPr>
      </w:pPr>
    </w:p>
    <w:p>
      <w:pPr>
        <w:pStyle w:val="BodyText"/>
        <w:rPr>
          <w:sz w:val="2"/>
        </w:rPr>
      </w:pPr>
    </w:p>
    <w:p>
      <w:pPr>
        <w:pStyle w:val="BodyText"/>
        <w:rPr>
          <w:sz w:val="2"/>
        </w:rPr>
      </w:pPr>
    </w:p>
    <w:p>
      <w:pPr>
        <w:pStyle w:val="BodyText"/>
        <w:rPr>
          <w:sz w:val="2"/>
        </w:rPr>
      </w:pPr>
    </w:p>
    <w:p>
      <w:pPr>
        <w:pStyle w:val="BodyText"/>
        <w:spacing w:before="2"/>
        <w:rPr>
          <w:sz w:val="2"/>
        </w:rPr>
      </w:pPr>
    </w:p>
    <w:p>
      <w:pPr>
        <w:spacing w:line="15" w:lineRule="exact" w:before="0"/>
        <w:ind w:left="436" w:right="0" w:firstLine="0"/>
        <w:jc w:val="left"/>
        <w:rPr>
          <w:sz w:val="2"/>
        </w:rPr>
      </w:pPr>
      <w:r>
        <w:rPr>
          <w:spacing w:val="-9"/>
          <w:sz w:val="2"/>
        </w:rPr>
        <w:t>•</w:t>
      </w:r>
    </w:p>
    <w:p>
      <w:pPr>
        <w:pStyle w:val="ListParagraph"/>
        <w:numPr>
          <w:ilvl w:val="0"/>
          <w:numId w:val="1"/>
        </w:numPr>
        <w:tabs>
          <w:tab w:pos="1020" w:val="left" w:leader="none"/>
        </w:tabs>
        <w:spacing w:line="249" w:lineRule="auto" w:before="0" w:after="0"/>
        <w:ind w:left="796" w:right="2347" w:firstLine="0"/>
        <w:jc w:val="left"/>
        <w:rPr>
          <w:sz w:val="16"/>
        </w:rPr>
      </w:pPr>
      <w:r>
        <w:rPr>
          <w:color w:val="4D565B"/>
          <w:sz w:val="16"/>
        </w:rPr>
        <w:t>HRSA. Pricing Formulas and New Drug Price Estimation. </w:t>
      </w:r>
      <w:hyperlink r:id="rId14">
        <w:r>
          <w:rPr>
            <w:color w:val="4D565B"/>
            <w:spacing w:val="-2"/>
            <w:sz w:val="16"/>
          </w:rPr>
          <w:t>https://340bpricingsubmissions.hrsa.gov/Help/Manufacturer/Pricing%20Formulas/Pricing%20Formulas.htm</w:t>
        </w:r>
      </w:hyperlink>
    </w:p>
    <w:p>
      <w:pPr>
        <w:pStyle w:val="BodyText"/>
        <w:rPr>
          <w:sz w:val="2"/>
        </w:rPr>
      </w:pPr>
    </w:p>
    <w:p>
      <w:pPr>
        <w:pStyle w:val="BodyText"/>
        <w:rPr>
          <w:sz w:val="2"/>
        </w:rPr>
      </w:pPr>
    </w:p>
    <w:p>
      <w:pPr>
        <w:pStyle w:val="BodyText"/>
        <w:rPr>
          <w:sz w:val="2"/>
        </w:rPr>
      </w:pPr>
    </w:p>
    <w:p>
      <w:pPr>
        <w:pStyle w:val="BodyText"/>
        <w:spacing w:before="9"/>
        <w:rPr>
          <w:sz w:val="2"/>
        </w:rPr>
      </w:pPr>
    </w:p>
    <w:p>
      <w:pPr>
        <w:spacing w:line="15" w:lineRule="exact" w:before="0"/>
        <w:ind w:left="436" w:right="0" w:firstLine="0"/>
        <w:jc w:val="left"/>
        <w:rPr>
          <w:sz w:val="2"/>
        </w:rPr>
      </w:pPr>
      <w:r>
        <w:rPr>
          <w:spacing w:val="-9"/>
          <w:sz w:val="2"/>
        </w:rPr>
        <w:t>•</w:t>
      </w:r>
    </w:p>
    <w:p>
      <w:pPr>
        <w:pStyle w:val="ListParagraph"/>
        <w:numPr>
          <w:ilvl w:val="0"/>
          <w:numId w:val="1"/>
        </w:numPr>
        <w:tabs>
          <w:tab w:pos="1110" w:val="left" w:leader="none"/>
        </w:tabs>
        <w:spacing w:line="249" w:lineRule="auto" w:before="0" w:after="0"/>
        <w:ind w:left="796" w:right="2914" w:firstLine="0"/>
        <w:jc w:val="left"/>
        <w:rPr>
          <w:sz w:val="16"/>
        </w:rPr>
      </w:pPr>
      <w:r>
        <w:rPr>
          <w:color w:val="4D565B"/>
          <w:sz w:val="16"/>
        </w:rPr>
        <w:t>Medicaid.gov. Early and Periodic Screening, Diagnostic, and Treatment. </w:t>
      </w:r>
      <w:hyperlink r:id="rId15">
        <w:r>
          <w:rPr>
            <w:color w:val="4D565B"/>
            <w:spacing w:val="-2"/>
            <w:sz w:val="16"/>
          </w:rPr>
          <w:t>https://www.medicaid.gov/medicaid/benefits/early-and-periodic-screening-diagnostic-and-</w:t>
        </w:r>
        <w:r>
          <w:rPr>
            <w:color w:val="4D565B"/>
            <w:spacing w:val="-2"/>
            <w:sz w:val="16"/>
          </w:rPr>
          <w:t>treatment</w:t>
        </w:r>
      </w:hyperlink>
    </w:p>
    <w:p>
      <w:pPr>
        <w:pStyle w:val="BodyText"/>
        <w:rPr>
          <w:sz w:val="2"/>
        </w:rPr>
      </w:pPr>
    </w:p>
    <w:p>
      <w:pPr>
        <w:pStyle w:val="BodyText"/>
        <w:rPr>
          <w:sz w:val="2"/>
        </w:rPr>
      </w:pPr>
    </w:p>
    <w:p>
      <w:pPr>
        <w:pStyle w:val="BodyText"/>
        <w:rPr>
          <w:sz w:val="2"/>
        </w:rPr>
      </w:pPr>
    </w:p>
    <w:p>
      <w:pPr>
        <w:pStyle w:val="BodyText"/>
        <w:spacing w:before="9"/>
        <w:rPr>
          <w:sz w:val="2"/>
        </w:rPr>
      </w:pPr>
    </w:p>
    <w:p>
      <w:pPr>
        <w:spacing w:line="15" w:lineRule="exact" w:before="1"/>
        <w:ind w:left="436" w:right="0" w:firstLine="0"/>
        <w:jc w:val="left"/>
        <w:rPr>
          <w:sz w:val="2"/>
        </w:rPr>
      </w:pPr>
      <w:r>
        <w:rPr>
          <w:spacing w:val="-9"/>
          <w:sz w:val="2"/>
        </w:rPr>
        <w:t>•</w:t>
      </w:r>
    </w:p>
    <w:p>
      <w:pPr>
        <w:pStyle w:val="ListParagraph"/>
        <w:numPr>
          <w:ilvl w:val="0"/>
          <w:numId w:val="1"/>
        </w:numPr>
        <w:tabs>
          <w:tab w:pos="1110" w:val="left" w:leader="none"/>
        </w:tabs>
        <w:spacing w:line="183" w:lineRule="exact" w:before="0" w:after="0"/>
        <w:ind w:left="1110" w:right="0" w:hanging="314"/>
        <w:jc w:val="left"/>
        <w:rPr>
          <w:sz w:val="16"/>
        </w:rPr>
      </w:pPr>
      <w:r>
        <w:rPr>
          <w:color w:val="4D565B"/>
          <w:sz w:val="16"/>
        </w:rPr>
        <w:t>Medicaid.gov.</w:t>
      </w:r>
      <w:r>
        <w:rPr>
          <w:color w:val="4D565B"/>
          <w:spacing w:val="7"/>
          <w:sz w:val="16"/>
        </w:rPr>
        <w:t> </w:t>
      </w:r>
      <w:r>
        <w:rPr>
          <w:color w:val="4D565B"/>
          <w:sz w:val="16"/>
        </w:rPr>
        <w:t>Physician</w:t>
      </w:r>
      <w:r>
        <w:rPr>
          <w:color w:val="4D565B"/>
          <w:spacing w:val="8"/>
          <w:sz w:val="16"/>
        </w:rPr>
        <w:t> </w:t>
      </w:r>
      <w:r>
        <w:rPr>
          <w:color w:val="4D565B"/>
          <w:sz w:val="16"/>
        </w:rPr>
        <w:t>Administered</w:t>
      </w:r>
      <w:r>
        <w:rPr>
          <w:color w:val="4D565B"/>
          <w:spacing w:val="7"/>
          <w:sz w:val="16"/>
        </w:rPr>
        <w:t> </w:t>
      </w:r>
      <w:r>
        <w:rPr>
          <w:color w:val="4D565B"/>
          <w:sz w:val="16"/>
        </w:rPr>
        <w:t>Drugs</w:t>
      </w:r>
      <w:r>
        <w:rPr>
          <w:color w:val="4D565B"/>
          <w:spacing w:val="8"/>
          <w:sz w:val="16"/>
        </w:rPr>
        <w:t> </w:t>
      </w:r>
      <w:r>
        <w:rPr>
          <w:color w:val="4D565B"/>
          <w:spacing w:val="-2"/>
          <w:sz w:val="16"/>
        </w:rPr>
        <w:t>(PAD).</w:t>
      </w:r>
    </w:p>
    <w:p>
      <w:pPr>
        <w:spacing w:before="7"/>
        <w:ind w:left="796" w:right="0" w:firstLine="0"/>
        <w:jc w:val="left"/>
        <w:rPr>
          <w:sz w:val="16"/>
        </w:rPr>
      </w:pPr>
      <w:hyperlink r:id="rId16">
        <w:r>
          <w:rPr>
            <w:color w:val="4D565B"/>
            <w:sz w:val="16"/>
          </w:rPr>
          <w:t>https://www.medicaid.gov/medicaid/prescription-drugs/state-prescription-drug-resources/physician-administered-drugs-</w:t>
        </w:r>
        <w:r>
          <w:rPr>
            <w:color w:val="4D565B"/>
            <w:spacing w:val="-5"/>
            <w:sz w:val="16"/>
          </w:rPr>
          <w:t>pad</w:t>
        </w:r>
      </w:hyperlink>
    </w:p>
    <w:p>
      <w:pPr>
        <w:pStyle w:val="BodyText"/>
        <w:rPr>
          <w:sz w:val="2"/>
        </w:rPr>
      </w:pPr>
    </w:p>
    <w:p>
      <w:pPr>
        <w:pStyle w:val="BodyText"/>
        <w:rPr>
          <w:sz w:val="2"/>
        </w:rPr>
      </w:pPr>
    </w:p>
    <w:p>
      <w:pPr>
        <w:pStyle w:val="BodyText"/>
        <w:rPr>
          <w:sz w:val="2"/>
        </w:rPr>
      </w:pPr>
    </w:p>
    <w:p>
      <w:pPr>
        <w:pStyle w:val="BodyText"/>
        <w:rPr>
          <w:sz w:val="2"/>
        </w:rPr>
      </w:pPr>
    </w:p>
    <w:p>
      <w:pPr>
        <w:pStyle w:val="BodyText"/>
        <w:spacing w:before="2"/>
        <w:rPr>
          <w:sz w:val="2"/>
        </w:rPr>
      </w:pPr>
    </w:p>
    <w:p>
      <w:pPr>
        <w:spacing w:line="15" w:lineRule="exact" w:before="0"/>
        <w:ind w:left="436" w:right="0" w:firstLine="0"/>
        <w:jc w:val="left"/>
        <w:rPr>
          <w:sz w:val="2"/>
        </w:rPr>
      </w:pPr>
      <w:r>
        <w:rPr>
          <w:spacing w:val="-9"/>
          <w:sz w:val="2"/>
        </w:rPr>
        <w:t>•</w:t>
      </w:r>
    </w:p>
    <w:p>
      <w:pPr>
        <w:pStyle w:val="ListParagraph"/>
        <w:numPr>
          <w:ilvl w:val="0"/>
          <w:numId w:val="1"/>
        </w:numPr>
        <w:tabs>
          <w:tab w:pos="1110" w:val="left" w:leader="none"/>
        </w:tabs>
        <w:spacing w:line="249" w:lineRule="auto" w:before="0" w:after="0"/>
        <w:ind w:left="796" w:right="4374" w:firstLine="0"/>
        <w:jc w:val="left"/>
        <w:rPr>
          <w:sz w:val="16"/>
        </w:rPr>
      </w:pPr>
      <w:r>
        <w:rPr>
          <w:color w:val="4D565B"/>
          <w:sz w:val="16"/>
        </w:rPr>
        <w:t>CMS. Part B Drug Payment Limits Overview, published January 2025. </w:t>
      </w:r>
      <w:hyperlink r:id="rId17">
        <w:r>
          <w:rPr>
            <w:color w:val="4D565B"/>
            <w:spacing w:val="-2"/>
            <w:sz w:val="16"/>
          </w:rPr>
          <w:t>https://www.cms.gov/files/document/part-b-drug-payment-limits-overview.pdf-</w:t>
        </w:r>
        <w:r>
          <w:rPr>
            <w:color w:val="4D565B"/>
            <w:spacing w:val="-2"/>
            <w:sz w:val="16"/>
          </w:rPr>
          <w:t>0</w:t>
        </w:r>
      </w:hyperlink>
    </w:p>
    <w:p>
      <w:pPr>
        <w:pStyle w:val="BodyText"/>
        <w:rPr>
          <w:sz w:val="2"/>
        </w:rPr>
      </w:pPr>
    </w:p>
    <w:p>
      <w:pPr>
        <w:pStyle w:val="BodyText"/>
        <w:rPr>
          <w:sz w:val="2"/>
        </w:rPr>
      </w:pPr>
    </w:p>
    <w:p>
      <w:pPr>
        <w:pStyle w:val="BodyText"/>
        <w:rPr>
          <w:sz w:val="2"/>
        </w:rPr>
      </w:pPr>
    </w:p>
    <w:p>
      <w:pPr>
        <w:pStyle w:val="BodyText"/>
        <w:spacing w:before="9"/>
        <w:rPr>
          <w:sz w:val="2"/>
        </w:rPr>
      </w:pPr>
    </w:p>
    <w:p>
      <w:pPr>
        <w:spacing w:line="15" w:lineRule="exact" w:before="0"/>
        <w:ind w:left="436" w:right="0" w:firstLine="0"/>
        <w:jc w:val="left"/>
        <w:rPr>
          <w:sz w:val="2"/>
        </w:rPr>
      </w:pPr>
      <w:r>
        <w:rPr>
          <w:spacing w:val="-9"/>
          <w:sz w:val="2"/>
        </w:rPr>
        <w:t>•</w:t>
      </w:r>
    </w:p>
    <w:p>
      <w:pPr>
        <w:pStyle w:val="ListParagraph"/>
        <w:numPr>
          <w:ilvl w:val="0"/>
          <w:numId w:val="1"/>
        </w:numPr>
        <w:tabs>
          <w:tab w:pos="1110" w:val="left" w:leader="none"/>
        </w:tabs>
        <w:spacing w:line="249" w:lineRule="auto" w:before="0" w:after="0"/>
        <w:ind w:left="796" w:right="2330" w:firstLine="0"/>
        <w:jc w:val="left"/>
        <w:rPr>
          <w:sz w:val="16"/>
        </w:rPr>
      </w:pPr>
      <w:r>
        <w:rPr>
          <w:color w:val="4D565B"/>
          <w:sz w:val="16"/>
        </w:rPr>
        <w:t>CMS. HCPCS Level II Coding Procedures, last modified March 20, 2026. </w:t>
      </w:r>
      <w:hyperlink r:id="rId18">
        <w:r>
          <w:rPr>
            <w:color w:val="4D565B"/>
            <w:spacing w:val="-2"/>
            <w:sz w:val="16"/>
          </w:rPr>
          <w:t>https://www.cms.gov/medicare/coding-billing/healthcare-common-procedure-system/level-ii-coding-</w:t>
        </w:r>
        <w:r>
          <w:rPr>
            <w:color w:val="4D565B"/>
            <w:spacing w:val="-2"/>
            <w:sz w:val="16"/>
          </w:rPr>
          <w:t>process</w:t>
        </w:r>
      </w:hyperlink>
    </w:p>
    <w:p>
      <w:pPr>
        <w:pStyle w:val="BodyText"/>
        <w:rPr>
          <w:sz w:val="2"/>
        </w:rPr>
      </w:pPr>
    </w:p>
    <w:p>
      <w:pPr>
        <w:pStyle w:val="BodyText"/>
        <w:rPr>
          <w:sz w:val="2"/>
        </w:rPr>
      </w:pPr>
    </w:p>
    <w:p>
      <w:pPr>
        <w:pStyle w:val="BodyText"/>
        <w:rPr>
          <w:sz w:val="2"/>
        </w:rPr>
      </w:pPr>
    </w:p>
    <w:p>
      <w:pPr>
        <w:pStyle w:val="BodyText"/>
        <w:spacing w:before="10"/>
        <w:rPr>
          <w:sz w:val="2"/>
        </w:rPr>
      </w:pPr>
    </w:p>
    <w:p>
      <w:pPr>
        <w:spacing w:line="15" w:lineRule="exact" w:before="0"/>
        <w:ind w:left="436" w:right="0" w:firstLine="0"/>
        <w:jc w:val="left"/>
        <w:rPr>
          <w:sz w:val="2"/>
        </w:rPr>
      </w:pPr>
      <w:r>
        <w:rPr>
          <w:spacing w:val="-9"/>
          <w:sz w:val="2"/>
        </w:rPr>
        <w:t>•</w:t>
      </w:r>
    </w:p>
    <w:p>
      <w:pPr>
        <w:pStyle w:val="ListParagraph"/>
        <w:numPr>
          <w:ilvl w:val="0"/>
          <w:numId w:val="1"/>
        </w:numPr>
        <w:tabs>
          <w:tab w:pos="1110" w:val="left" w:leader="none"/>
        </w:tabs>
        <w:spacing w:line="249" w:lineRule="auto" w:before="0" w:after="0"/>
        <w:ind w:left="796" w:right="456" w:firstLine="0"/>
        <w:jc w:val="left"/>
        <w:rPr>
          <w:sz w:val="16"/>
        </w:rPr>
      </w:pPr>
      <w:r>
        <w:rPr>
          <w:color w:val="4D565B"/>
          <w:sz w:val="16"/>
        </w:rPr>
        <w:t>CMS. Pass-Through Payment Status and New Technology Ambulatory Payment Classification (APC), last modified March 19, 2026, and CMS pass-through application process materials updated March 16, 2026. </w:t>
      </w:r>
      <w:hyperlink r:id="rId19">
        <w:r>
          <w:rPr>
            <w:color w:val="4D565B"/>
            <w:sz w:val="16"/>
          </w:rPr>
          <w:t>https://www.cms.gov/medicare/payment/prospe</w:t>
        </w:r>
      </w:hyperlink>
      <w:r>
        <w:rPr>
          <w:color w:val="4D565B"/>
          <w:sz w:val="16"/>
        </w:rPr>
        <w:t> ctive-payment-systems/hospital-outpatient/pass-through-payment-status-new-technology-ambulatory-payment-classification-apc ; htt </w:t>
      </w:r>
      <w:hyperlink r:id="rId20">
        <w:r>
          <w:rPr>
            <w:color w:val="4D565B"/>
            <w:spacing w:val="-2"/>
            <w:sz w:val="16"/>
          </w:rPr>
          <w:t>ps://www.cms.gov/files/document/determine-eligibility-drugs-biologicals-transitional-pass-through-payment-under-hospital-outpatient.</w:t>
        </w:r>
      </w:hyperlink>
      <w:r>
        <w:rPr>
          <w:color w:val="4D565B"/>
          <w:spacing w:val="80"/>
          <w:w w:val="150"/>
          <w:sz w:val="16"/>
        </w:rPr>
        <w:t>  </w:t>
      </w:r>
      <w:r>
        <w:rPr>
          <w:color w:val="4D565B"/>
          <w:spacing w:val="-4"/>
          <w:sz w:val="16"/>
        </w:rPr>
        <w:t>pdf</w:t>
      </w:r>
    </w:p>
    <w:p>
      <w:pPr>
        <w:pStyle w:val="BodyText"/>
        <w:rPr>
          <w:sz w:val="2"/>
        </w:rPr>
      </w:pPr>
    </w:p>
    <w:p>
      <w:pPr>
        <w:pStyle w:val="BodyText"/>
        <w:rPr>
          <w:sz w:val="2"/>
        </w:rPr>
      </w:pPr>
    </w:p>
    <w:p>
      <w:pPr>
        <w:pStyle w:val="BodyText"/>
        <w:rPr>
          <w:sz w:val="2"/>
        </w:rPr>
      </w:pPr>
    </w:p>
    <w:p>
      <w:pPr>
        <w:pStyle w:val="BodyText"/>
        <w:spacing w:before="9"/>
        <w:rPr>
          <w:sz w:val="2"/>
        </w:rPr>
      </w:pPr>
    </w:p>
    <w:p>
      <w:pPr>
        <w:spacing w:line="15" w:lineRule="exact" w:before="1"/>
        <w:ind w:left="436" w:right="0" w:firstLine="0"/>
        <w:jc w:val="left"/>
        <w:rPr>
          <w:sz w:val="2"/>
        </w:rPr>
      </w:pPr>
      <w:r>
        <w:rPr>
          <w:spacing w:val="-9"/>
          <w:sz w:val="2"/>
        </w:rPr>
        <w:t>•</w:t>
      </w:r>
    </w:p>
    <w:p>
      <w:pPr>
        <w:pStyle w:val="ListParagraph"/>
        <w:numPr>
          <w:ilvl w:val="0"/>
          <w:numId w:val="1"/>
        </w:numPr>
        <w:tabs>
          <w:tab w:pos="1110" w:val="left" w:leader="none"/>
        </w:tabs>
        <w:spacing w:line="249" w:lineRule="auto" w:before="0" w:after="0"/>
        <w:ind w:left="796" w:right="520" w:firstLine="0"/>
        <w:jc w:val="left"/>
        <w:rPr>
          <w:sz w:val="16"/>
        </w:rPr>
      </w:pPr>
      <w:r>
        <w:rPr>
          <w:color w:val="4D565B"/>
          <w:sz w:val="16"/>
        </w:rPr>
        <w:t>CMS. Medicare to Pay for Unclassified, FDA-Approved Drugs Administered in Outpatient Departments. </w:t>
      </w:r>
      <w:hyperlink r:id="rId21">
        <w:r>
          <w:rPr>
            <w:color w:val="4D565B"/>
            <w:spacing w:val="-2"/>
            <w:sz w:val="16"/>
          </w:rPr>
          <w:t>https://www.cms.gov/newsroom/press-releases/medicare-pay-unclassified-fda-approved-drugs-administered-outpatient-</w:t>
        </w:r>
        <w:r>
          <w:rPr>
            <w:color w:val="4D565B"/>
            <w:spacing w:val="-2"/>
            <w:sz w:val="16"/>
          </w:rPr>
          <w:t>departments</w:t>
        </w:r>
      </w:hyperlink>
    </w:p>
    <w:p>
      <w:pPr>
        <w:pStyle w:val="BodyText"/>
        <w:rPr>
          <w:sz w:val="2"/>
        </w:rPr>
      </w:pPr>
    </w:p>
    <w:p>
      <w:pPr>
        <w:pStyle w:val="BodyText"/>
        <w:rPr>
          <w:sz w:val="2"/>
        </w:rPr>
      </w:pPr>
    </w:p>
    <w:p>
      <w:pPr>
        <w:pStyle w:val="BodyText"/>
        <w:rPr>
          <w:sz w:val="2"/>
        </w:rPr>
      </w:pPr>
    </w:p>
    <w:p>
      <w:pPr>
        <w:pStyle w:val="BodyText"/>
        <w:spacing w:before="9"/>
        <w:rPr>
          <w:sz w:val="2"/>
        </w:rPr>
      </w:pPr>
    </w:p>
    <w:p>
      <w:pPr>
        <w:spacing w:line="15" w:lineRule="exact" w:before="0"/>
        <w:ind w:left="436" w:right="0" w:firstLine="0"/>
        <w:jc w:val="left"/>
        <w:rPr>
          <w:sz w:val="2"/>
        </w:rPr>
      </w:pPr>
      <w:r>
        <w:rPr>
          <w:spacing w:val="-9"/>
          <w:sz w:val="2"/>
        </w:rPr>
        <w:t>•</w:t>
      </w:r>
    </w:p>
    <w:p>
      <w:pPr>
        <w:pStyle w:val="ListParagraph"/>
        <w:numPr>
          <w:ilvl w:val="0"/>
          <w:numId w:val="1"/>
        </w:numPr>
        <w:tabs>
          <w:tab w:pos="1110" w:val="left" w:leader="none"/>
        </w:tabs>
        <w:spacing w:line="249" w:lineRule="auto" w:before="0" w:after="0"/>
        <w:ind w:left="796" w:right="4148" w:firstLine="0"/>
        <w:jc w:val="left"/>
        <w:rPr>
          <w:sz w:val="16"/>
        </w:rPr>
      </w:pPr>
      <w:r>
        <w:rPr>
          <w:color w:val="4D565B"/>
          <w:sz w:val="16"/>
        </w:rPr>
        <w:t>Aetna. Clinical Policy Bulletin 0442: Lysosomal Storage Disorder </w:t>
      </w:r>
      <w:r>
        <w:rPr>
          <w:color w:val="4D565B"/>
          <w:sz w:val="16"/>
        </w:rPr>
        <w:t>Treatments. </w:t>
      </w:r>
      <w:hyperlink r:id="rId22">
        <w:r>
          <w:rPr>
            <w:color w:val="4D565B"/>
            <w:spacing w:val="-2"/>
            <w:sz w:val="16"/>
          </w:rPr>
          <w:t>https://www.aetna.com/cpb/medical/data/400_499/0442.html</w:t>
        </w:r>
      </w:hyperlink>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21"/>
        <w:rPr>
          <w:sz w:val="16"/>
        </w:rPr>
      </w:pPr>
    </w:p>
    <w:p>
      <w:pPr>
        <w:spacing w:before="0"/>
        <w:ind w:left="0" w:right="113" w:firstLine="0"/>
        <w:jc w:val="right"/>
        <w:rPr>
          <w:sz w:val="16"/>
        </w:rPr>
      </w:pPr>
      <w:r>
        <w:rPr>
          <w:color w:val="6E7579"/>
          <w:sz w:val="16"/>
        </w:rPr>
        <w:t>Page </w:t>
      </w:r>
      <w:r>
        <w:rPr>
          <w:color w:val="6E7579"/>
          <w:spacing w:val="-10"/>
          <w:sz w:val="16"/>
        </w:rPr>
        <w:t>6</w:t>
      </w:r>
    </w:p>
    <w:sectPr>
      <w:pgSz w:w="12240" w:h="15840"/>
      <w:pgMar w:top="182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Helvetica">
    <w:altName w:val="Helvetica"/>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1021" w:hanging="226"/>
        <w:jc w:val="left"/>
      </w:pPr>
      <w:rPr>
        <w:rFonts w:hint="default" w:ascii="Helvetica" w:hAnsi="Helvetica" w:eastAsia="Helvetica" w:cs="Helvetica"/>
        <w:b w:val="0"/>
        <w:bCs w:val="0"/>
        <w:i w:val="0"/>
        <w:iCs w:val="0"/>
        <w:color w:val="4D565B"/>
        <w:spacing w:val="0"/>
        <w:w w:val="101"/>
        <w:sz w:val="16"/>
        <w:szCs w:val="16"/>
        <w:lang w:val="en-US" w:eastAsia="en-US" w:bidi="ar-SA"/>
      </w:rPr>
    </w:lvl>
    <w:lvl w:ilvl="1">
      <w:start w:val="0"/>
      <w:numFmt w:val="bullet"/>
      <w:lvlText w:val="•"/>
      <w:lvlJc w:val="left"/>
      <w:pPr>
        <w:ind w:left="1998" w:hanging="226"/>
      </w:pPr>
      <w:rPr>
        <w:rFonts w:hint="default"/>
        <w:lang w:val="en-US" w:eastAsia="en-US" w:bidi="ar-SA"/>
      </w:rPr>
    </w:lvl>
    <w:lvl w:ilvl="2">
      <w:start w:val="0"/>
      <w:numFmt w:val="bullet"/>
      <w:lvlText w:val="•"/>
      <w:lvlJc w:val="left"/>
      <w:pPr>
        <w:ind w:left="2976" w:hanging="226"/>
      </w:pPr>
      <w:rPr>
        <w:rFonts w:hint="default"/>
        <w:lang w:val="en-US" w:eastAsia="en-US" w:bidi="ar-SA"/>
      </w:rPr>
    </w:lvl>
    <w:lvl w:ilvl="3">
      <w:start w:val="0"/>
      <w:numFmt w:val="bullet"/>
      <w:lvlText w:val="•"/>
      <w:lvlJc w:val="left"/>
      <w:pPr>
        <w:ind w:left="3954" w:hanging="226"/>
      </w:pPr>
      <w:rPr>
        <w:rFonts w:hint="default"/>
        <w:lang w:val="en-US" w:eastAsia="en-US" w:bidi="ar-SA"/>
      </w:rPr>
    </w:lvl>
    <w:lvl w:ilvl="4">
      <w:start w:val="0"/>
      <w:numFmt w:val="bullet"/>
      <w:lvlText w:val="•"/>
      <w:lvlJc w:val="left"/>
      <w:pPr>
        <w:ind w:left="4932" w:hanging="226"/>
      </w:pPr>
      <w:rPr>
        <w:rFonts w:hint="default"/>
        <w:lang w:val="en-US" w:eastAsia="en-US" w:bidi="ar-SA"/>
      </w:rPr>
    </w:lvl>
    <w:lvl w:ilvl="5">
      <w:start w:val="0"/>
      <w:numFmt w:val="bullet"/>
      <w:lvlText w:val="•"/>
      <w:lvlJc w:val="left"/>
      <w:pPr>
        <w:ind w:left="5910" w:hanging="226"/>
      </w:pPr>
      <w:rPr>
        <w:rFonts w:hint="default"/>
        <w:lang w:val="en-US" w:eastAsia="en-US" w:bidi="ar-SA"/>
      </w:rPr>
    </w:lvl>
    <w:lvl w:ilvl="6">
      <w:start w:val="0"/>
      <w:numFmt w:val="bullet"/>
      <w:lvlText w:val="•"/>
      <w:lvlJc w:val="left"/>
      <w:pPr>
        <w:ind w:left="6888" w:hanging="226"/>
      </w:pPr>
      <w:rPr>
        <w:rFonts w:hint="default"/>
        <w:lang w:val="en-US" w:eastAsia="en-US" w:bidi="ar-SA"/>
      </w:rPr>
    </w:lvl>
    <w:lvl w:ilvl="7">
      <w:start w:val="0"/>
      <w:numFmt w:val="bullet"/>
      <w:lvlText w:val="•"/>
      <w:lvlJc w:val="left"/>
      <w:pPr>
        <w:ind w:left="7866" w:hanging="226"/>
      </w:pPr>
      <w:rPr>
        <w:rFonts w:hint="default"/>
        <w:lang w:val="en-US" w:eastAsia="en-US" w:bidi="ar-SA"/>
      </w:rPr>
    </w:lvl>
    <w:lvl w:ilvl="8">
      <w:start w:val="0"/>
      <w:numFmt w:val="bullet"/>
      <w:lvlText w:val="•"/>
      <w:lvlJc w:val="left"/>
      <w:pPr>
        <w:ind w:left="8844" w:hanging="226"/>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Helvetica" w:hAnsi="Helvetica" w:eastAsia="Helvetica" w:cs="Helvetica"/>
      <w:lang w:val="en-US" w:eastAsia="en-US" w:bidi="ar-SA"/>
    </w:rPr>
  </w:style>
  <w:style w:styleId="BodyText" w:type="paragraph">
    <w:name w:val="Body Text"/>
    <w:basedOn w:val="Normal"/>
    <w:uiPriority w:val="1"/>
    <w:qFormat/>
    <w:pPr/>
    <w:rPr>
      <w:rFonts w:ascii="Helvetica" w:hAnsi="Helvetica" w:eastAsia="Helvetica" w:cs="Helvetica"/>
      <w:sz w:val="19"/>
      <w:szCs w:val="19"/>
      <w:lang w:val="en-US" w:eastAsia="en-US" w:bidi="ar-SA"/>
    </w:rPr>
  </w:style>
  <w:style w:styleId="Heading1" w:type="paragraph">
    <w:name w:val="Heading 1"/>
    <w:basedOn w:val="Normal"/>
    <w:uiPriority w:val="1"/>
    <w:qFormat/>
    <w:pPr>
      <w:spacing w:before="165"/>
      <w:ind w:left="4967" w:right="521" w:hanging="4171"/>
      <w:outlineLvl w:val="1"/>
    </w:pPr>
    <w:rPr>
      <w:rFonts w:ascii="Helvetica" w:hAnsi="Helvetica" w:eastAsia="Helvetica" w:cs="Helvetica"/>
      <w:b/>
      <w:bCs/>
      <w:sz w:val="38"/>
      <w:szCs w:val="38"/>
      <w:lang w:val="en-US" w:eastAsia="en-US" w:bidi="ar-SA"/>
    </w:rPr>
  </w:style>
  <w:style w:styleId="Heading2" w:type="paragraph">
    <w:name w:val="Heading 2"/>
    <w:basedOn w:val="Normal"/>
    <w:uiPriority w:val="1"/>
    <w:qFormat/>
    <w:pPr>
      <w:ind w:left="436"/>
      <w:outlineLvl w:val="2"/>
    </w:pPr>
    <w:rPr>
      <w:rFonts w:ascii="Helvetica" w:hAnsi="Helvetica" w:eastAsia="Helvetica" w:cs="Helvetica"/>
      <w:b/>
      <w:bCs/>
      <w:sz w:val="25"/>
      <w:szCs w:val="25"/>
      <w:lang w:val="en-US" w:eastAsia="en-US" w:bidi="ar-SA"/>
    </w:rPr>
  </w:style>
  <w:style w:styleId="Heading3" w:type="paragraph">
    <w:name w:val="Heading 3"/>
    <w:basedOn w:val="Normal"/>
    <w:uiPriority w:val="1"/>
    <w:qFormat/>
    <w:pPr>
      <w:ind w:left="496"/>
      <w:outlineLvl w:val="3"/>
    </w:pPr>
    <w:rPr>
      <w:rFonts w:ascii="Helvetica" w:hAnsi="Helvetica" w:eastAsia="Helvetica" w:cs="Helvetica"/>
      <w:b/>
      <w:bCs/>
      <w:sz w:val="20"/>
      <w:szCs w:val="20"/>
      <w:lang w:val="en-US" w:eastAsia="en-US" w:bidi="ar-SA"/>
    </w:rPr>
  </w:style>
  <w:style w:styleId="Heading4" w:type="paragraph">
    <w:name w:val="Heading 4"/>
    <w:basedOn w:val="Normal"/>
    <w:uiPriority w:val="1"/>
    <w:qFormat/>
    <w:pPr>
      <w:spacing w:before="113"/>
      <w:ind w:left="436" w:right="521"/>
      <w:outlineLvl w:val="4"/>
    </w:pPr>
    <w:rPr>
      <w:rFonts w:ascii="Helvetica" w:hAnsi="Helvetica" w:eastAsia="Helvetica" w:cs="Helvetica"/>
      <w:b/>
      <w:bCs/>
      <w:sz w:val="19"/>
      <w:szCs w:val="19"/>
      <w:lang w:val="en-US" w:eastAsia="en-US" w:bidi="ar-SA"/>
    </w:rPr>
  </w:style>
  <w:style w:styleId="ListParagraph" w:type="paragraph">
    <w:name w:val="List Paragraph"/>
    <w:basedOn w:val="Normal"/>
    <w:uiPriority w:val="1"/>
    <w:qFormat/>
    <w:pPr>
      <w:ind w:left="796"/>
    </w:pPr>
    <w:rPr>
      <w:rFonts w:ascii="Helvetica" w:hAnsi="Helvetica" w:eastAsia="Helvetica" w:cs="Helvetica"/>
      <w:lang w:val="en-US" w:eastAsia="en-US" w:bidi="ar-SA"/>
    </w:rPr>
  </w:style>
  <w:style w:styleId="TableParagraph" w:type="paragraph">
    <w:name w:val="Table Paragraph"/>
    <w:basedOn w:val="Normal"/>
    <w:uiPriority w:val="1"/>
    <w:qFormat/>
    <w:pPr>
      <w:spacing w:before="106"/>
      <w:ind w:left="99"/>
    </w:pPr>
    <w:rPr>
      <w:rFonts w:ascii="Helvetica" w:hAnsi="Helvetica" w:eastAsia="Helvetica" w:cs="Helvetic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hyperlink" Target="https://www.uhcprovider.com/content/dam/provider/docs/public/prior-auth/drugs-pharmacy/commercial/h-p/PA-Med-Nec-Miplyffa.pdf" TargetMode="External"/><Relationship Id="rId10" Type="http://schemas.openxmlformats.org/officeDocument/2006/relationships/hyperlink" Target="https://www.uhcprovider.com/content/dam/provider/docs/public/prior-auth/drugs-pharmacy/commercial/a-g/PA-Med-Nec-Aqneu" TargetMode="External"/><Relationship Id="rId11" Type="http://schemas.openxmlformats.org/officeDocument/2006/relationships/hyperlink" Target="https://ams-gateway.uhcprovider.com/content/dam/provider/docs/public/resources/pharmacy/medication-expansion-sourcing-faq.pdf" TargetMode="External"/><Relationship Id="rId12" Type="http://schemas.openxmlformats.org/officeDocument/2006/relationships/hyperlink" Target="https://www.uhcprovider.com/content/dam/provider/docs/public/policies/comm-medical-drug/provider-administered-drugs-soc.pdf" TargetMode="External"/><Relationship Id="rId13" Type="http://schemas.openxmlformats.org/officeDocument/2006/relationships/hyperlink" Target="https://www.hrsa.gov/about/faqs/how-340b-ceiling-price-calculated" TargetMode="External"/><Relationship Id="rId14" Type="http://schemas.openxmlformats.org/officeDocument/2006/relationships/hyperlink" Target="https://340bpricingsubmissions.hrsa.gov/Help/Manufacturer/Pricing%20Formulas/Pricing%20Formulas.htm" TargetMode="External"/><Relationship Id="rId15" Type="http://schemas.openxmlformats.org/officeDocument/2006/relationships/hyperlink" Target="https://www.medicaid.gov/medicaid/benefits/early-and-periodic-screening-diagnostic-and-treatment" TargetMode="External"/><Relationship Id="rId16" Type="http://schemas.openxmlformats.org/officeDocument/2006/relationships/hyperlink" Target="https://www.medicaid.gov/medicaid/prescription-drugs/state-prescription-drug-resources/physician-administered-drugs-pad" TargetMode="External"/><Relationship Id="rId17" Type="http://schemas.openxmlformats.org/officeDocument/2006/relationships/hyperlink" Target="https://www.cms.gov/files/document/part-b-drug-payment-limits-overview.pdf-0" TargetMode="External"/><Relationship Id="rId18" Type="http://schemas.openxmlformats.org/officeDocument/2006/relationships/hyperlink" Target="https://www.cms.gov/medicare/coding-billing/healthcare-common-procedure-system/level-ii-coding-process" TargetMode="External"/><Relationship Id="rId19" Type="http://schemas.openxmlformats.org/officeDocument/2006/relationships/hyperlink" Target="https://www.cms.gov/medicare/payment/prospe" TargetMode="External"/><Relationship Id="rId20" Type="http://schemas.openxmlformats.org/officeDocument/2006/relationships/hyperlink" Target="http://www.cms.gov/files/document/determine-eligibility-drugs-biologicals-transitional-pass-through-payment-under-hospital-outpatient" TargetMode="External"/><Relationship Id="rId21" Type="http://schemas.openxmlformats.org/officeDocument/2006/relationships/hyperlink" Target="https://www.cms.gov/newsroom/press-releases/medicare-pay-unclassified-fda-approved-drugs-administered-outpatient-departments" TargetMode="External"/><Relationship Id="rId22" Type="http://schemas.openxmlformats.org/officeDocument/2006/relationships/hyperlink" Target="https://www.aetna.com/cpb/medical/data/400_499/0442.html" TargetMode="External"/><Relationship Id="rId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OpenAI Codex for Navisync</dc:creator>
  <dc:subject>(unspecified)</dc:subject>
  <dc:title>Adrabetadex Provider Net Cost Calculator Concept Brief</dc:title>
  <dcterms:created xsi:type="dcterms:W3CDTF">2026-04-27T01:50:39Z</dcterms:created>
  <dcterms:modified xsi:type="dcterms:W3CDTF">2026-04-27T01:50:39Z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2026-03-30T00:00:00Z</vt:filetime>
  </property>
  <property fmtid="{D5CDD505-2E9C-101B-9397-08002B2CF9AE}" pid="3" name="Creator">
    <vt:lpwstr>(unspecified)</vt:lpwstr>
  </property>
  <property fmtid="{D5CDD505-2E9C-101B-9397-08002B2CF9AE}" pid="4" name="LastSaved">
    <vt:filetime>2026-04-27T00:00:00Z</vt:filetime>
  </property>
  <property fmtid="{D5CDD505-2E9C-101B-9397-08002B2CF9AE}" pid="5" name="Producer">
    <vt:lpwstr>ReportLab PDF Library - (opensource)</vt:lpwstr>
  </property>
</Properties>
</file>