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7B71" w14:textId="77777777" w:rsidR="0027634F" w:rsidRPr="0027634F" w:rsidRDefault="0027634F" w:rsidP="0027634F">
      <w:pPr>
        <w:outlineLvl w:val="0"/>
        <w:rPr>
          <w:rFonts w:ascii="Times New Roman" w:eastAsia="Times New Roman" w:hAnsi="Times New Roman" w:cs="Times New Roman"/>
          <w:b/>
          <w:bCs/>
          <w:kern w:val="36"/>
          <w:sz w:val="48"/>
          <w:szCs w:val="48"/>
          <w14:ligatures w14:val="none"/>
        </w:rPr>
      </w:pPr>
      <w:r w:rsidRPr="0027634F">
        <w:rPr>
          <w:rFonts w:ascii="Times New Roman" w:eastAsia="Times New Roman" w:hAnsi="Times New Roman" w:cs="Times New Roman"/>
          <w:b/>
          <w:bCs/>
          <w:kern w:val="36"/>
          <w:sz w:val="48"/>
          <w:szCs w:val="48"/>
          <w14:ligatures w14:val="none"/>
        </w:rPr>
        <w:t>Adrabetadex ARM Training Fact Matrix</w:t>
      </w:r>
    </w:p>
    <w:p w14:paraId="39F694E3"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Working Frame</w:t>
      </w:r>
    </w:p>
    <w:p w14:paraId="43BAA57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This matrix treats the newly clarified assumptions as the operating facts for the next iteration:</w:t>
      </w:r>
    </w:p>
    <w:p w14:paraId="6A6A1693"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Launch WAC:</w:t>
      </w:r>
      <w:r w:rsidRPr="0027634F">
        <w:rPr>
          <w:rFonts w:ascii="Times New Roman" w:eastAsia="Times New Roman" w:hAnsi="Times New Roman" w:cs="Times New Roman"/>
          <w:kern w:val="0"/>
          <w14:ligatures w14:val="none"/>
        </w:rPr>
        <w:t xml:space="preserve"> $39,000 per 900 mg vial</w:t>
      </w:r>
    </w:p>
    <w:p w14:paraId="02F0F187"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Dosing:</w:t>
      </w:r>
      <w:r w:rsidRPr="0027634F">
        <w:rPr>
          <w:rFonts w:ascii="Times New Roman" w:eastAsia="Times New Roman" w:hAnsi="Times New Roman" w:cs="Times New Roman"/>
          <w:kern w:val="0"/>
          <w14:ligatures w14:val="none"/>
        </w:rPr>
        <w:t xml:space="preserve"> every two weeks</w:t>
      </w:r>
    </w:p>
    <w:p w14:paraId="706E7FA3"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Annual gross WAC exposure:</w:t>
      </w:r>
      <w:r w:rsidRPr="0027634F">
        <w:rPr>
          <w:rFonts w:ascii="Times New Roman" w:eastAsia="Times New Roman" w:hAnsi="Times New Roman" w:cs="Times New Roman"/>
          <w:kern w:val="0"/>
          <w14:ligatures w14:val="none"/>
        </w:rPr>
        <w:t xml:space="preserve"> $1,014,000 per patient</w:t>
      </w:r>
    </w:p>
    <w:p w14:paraId="5A2387E0"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Pre-ASP period:</w:t>
      </w:r>
      <w:r w:rsidRPr="0027634F">
        <w:rPr>
          <w:rFonts w:ascii="Times New Roman" w:eastAsia="Times New Roman" w:hAnsi="Times New Roman" w:cs="Times New Roman"/>
          <w:kern w:val="0"/>
          <w14:ligatures w14:val="none"/>
        </w:rPr>
        <w:t xml:space="preserve"> approximately first two quarters after launch</w:t>
      </w:r>
    </w:p>
    <w:p w14:paraId="2020904B"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OPPS pass-through effective date:</w:t>
      </w:r>
      <w:r w:rsidRPr="0027634F">
        <w:rPr>
          <w:rFonts w:ascii="Times New Roman" w:eastAsia="Times New Roman" w:hAnsi="Times New Roman" w:cs="Times New Roman"/>
          <w:kern w:val="0"/>
          <w14:ligatures w14:val="none"/>
        </w:rPr>
        <w:t xml:space="preserve"> January 1, 2027</w:t>
      </w:r>
    </w:p>
    <w:p w14:paraId="1C4C40A6"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Permanent HCPCS effective date:</w:t>
      </w:r>
      <w:r w:rsidRPr="0027634F">
        <w:rPr>
          <w:rFonts w:ascii="Times New Roman" w:eastAsia="Times New Roman" w:hAnsi="Times New Roman" w:cs="Times New Roman"/>
          <w:kern w:val="0"/>
          <w14:ligatures w14:val="none"/>
        </w:rPr>
        <w:t xml:space="preserve"> April 1, 2027</w:t>
      </w:r>
    </w:p>
    <w:p w14:paraId="3458EB02"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Primary customers:</w:t>
      </w:r>
      <w:r w:rsidRPr="0027634F">
        <w:rPr>
          <w:rFonts w:ascii="Times New Roman" w:eastAsia="Times New Roman" w:hAnsi="Times New Roman" w:cs="Times New Roman"/>
          <w:kern w:val="0"/>
          <w14:ligatures w14:val="none"/>
        </w:rPr>
        <w:t xml:space="preserve"> centers of excellence</w:t>
      </w:r>
    </w:p>
    <w:p w14:paraId="523C893C"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340B status:</w:t>
      </w:r>
      <w:r w:rsidRPr="0027634F">
        <w:rPr>
          <w:rFonts w:ascii="Times New Roman" w:eastAsia="Times New Roman" w:hAnsi="Times New Roman" w:cs="Times New Roman"/>
          <w:kern w:val="0"/>
          <w14:ligatures w14:val="none"/>
        </w:rPr>
        <w:t xml:space="preserve"> assume target COEs are 340B entities</w:t>
      </w:r>
    </w:p>
    <w:p w14:paraId="7769B702"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Commercial friction:</w:t>
      </w:r>
      <w:r w:rsidRPr="0027634F">
        <w:rPr>
          <w:rFonts w:ascii="Times New Roman" w:eastAsia="Times New Roman" w:hAnsi="Times New Roman" w:cs="Times New Roman"/>
          <w:kern w:val="0"/>
          <w14:ligatures w14:val="none"/>
        </w:rPr>
        <w:t xml:space="preserve"> valid and expected, but mitigated through Beren-provided ARM and patient-access tools</w:t>
      </w:r>
    </w:p>
    <w:p w14:paraId="2D9EBD5E" w14:textId="77777777" w:rsidR="0027634F" w:rsidRPr="0027634F" w:rsidRDefault="0027634F" w:rsidP="0027634F">
      <w:pPr>
        <w:numPr>
          <w:ilvl w:val="0"/>
          <w:numId w:val="1"/>
        </w:num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Core value story:</w:t>
      </w:r>
      <w:r w:rsidRPr="0027634F">
        <w:rPr>
          <w:rFonts w:ascii="Times New Roman" w:eastAsia="Times New Roman" w:hAnsi="Times New Roman" w:cs="Times New Roman"/>
          <w:kern w:val="0"/>
          <w14:ligatures w14:val="none"/>
        </w:rPr>
        <w:t xml:space="preserve"> materially similar across target sites because the target customer set is 340B-concentrated</w:t>
      </w:r>
    </w:p>
    <w:p w14:paraId="3DD3795E"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4EB060A6">
          <v:rect id="_x0000_i1038" alt="" style="width:468pt;height:.05pt;mso-width-percent:0;mso-height-percent:0;mso-width-percent:0;mso-height-percent:0" o:hralign="center" o:hrstd="t" o:hr="t" fillcolor="#a0a0a0" stroked="f"/>
        </w:pict>
      </w:r>
    </w:p>
    <w:p w14:paraId="74E3EA28"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 Core Product and Launch Facts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69"/>
        <w:gridCol w:w="2325"/>
        <w:gridCol w:w="3699"/>
        <w:gridCol w:w="1751"/>
      </w:tblGrid>
      <w:tr w:rsidR="0027634F" w:rsidRPr="0027634F" w14:paraId="585317F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9AE6A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Topic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8FAB0C"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1DA6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Training Implication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48299"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Calculator Treatment</w:t>
            </w:r>
          </w:p>
        </w:tc>
      </w:tr>
      <w:tr w:rsidR="0027634F" w:rsidRPr="0027634F" w14:paraId="1AE440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B96F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Product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6BE7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Adrabetadex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6EF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Clinician-administered, rare-disease therapy requiring specialty-center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4825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 product</w:t>
            </w:r>
          </w:p>
        </w:tc>
      </w:tr>
      <w:tr w:rsidR="0027634F" w:rsidRPr="0027634F" w14:paraId="0B2BC2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7DA5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Indication 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0D0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Infantile-onset Niemann-Pick disease type 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E64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Launch volume is concentrated, not broad retail or community-office utilization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DE1C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 launch population</w:t>
            </w:r>
          </w:p>
        </w:tc>
      </w:tr>
      <w:tr w:rsidR="0027634F" w:rsidRPr="0027634F" w14:paraId="6FD4E1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6D54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PDUFA / approval planning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0029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August 17,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F5A5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Approval timing drives pass-through and HCPCS sequencing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A1B4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 date</w:t>
            </w:r>
          </w:p>
        </w:tc>
      </w:tr>
      <w:tr w:rsidR="0027634F" w:rsidRPr="0027634F" w14:paraId="704A24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CCE1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 treatment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BC1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Pediatric specialty hospitals and centers of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F997A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Training should focus on institutional reimbursement, not broad office-based selling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C385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site type = COE / HOPD</w:t>
            </w:r>
          </w:p>
        </w:tc>
      </w:tr>
      <w:tr w:rsidR="0027634F" w:rsidRPr="0027634F" w14:paraId="24FCBC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7BDA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 site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3D0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F96C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Value story should center on 340B acquisition advantage plus outpatient payment visibility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845D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340B = Yes</w:t>
            </w:r>
          </w:p>
        </w:tc>
      </w:tr>
      <w:tr w:rsidR="0027634F" w:rsidRPr="0027634F" w14:paraId="1838C1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EA6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Clinical value frame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8F32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Survival and functional preservation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5F93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Supports medical necessity and access case, but does not replace reimbursement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579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Narrative support, not a formula input</w:t>
            </w:r>
          </w:p>
        </w:tc>
      </w:tr>
    </w:tbl>
    <w:p w14:paraId="5468CDE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current combined brief already frames the launch as concentrated in pediatric specialty hospitals and centers of excellence, and it states that WAC is $39,000 per 900 mg vial dosed every two weeks, producing $1,014,000 in annual gross drug exposure before administration cost or denied claims.  </w:t>
      </w:r>
    </w:p>
    <w:p w14:paraId="53AFC1ED"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29CD2DB7">
          <v:rect id="_x0000_i1037" alt="" style="width:468pt;height:.05pt;mso-width-percent:0;mso-height-percent:0;mso-width-percent:0;mso-height-percent:0" o:hralign="center" o:hrstd="t" o:hr="t" fillcolor="#a0a0a0" stroked="f"/>
        </w:pict>
      </w:r>
    </w:p>
    <w:p w14:paraId="18AF84FB"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2. Dosing and Cost Exposure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91"/>
        <w:gridCol w:w="1162"/>
        <w:gridCol w:w="1496"/>
        <w:gridCol w:w="3695"/>
      </w:tblGrid>
      <w:tr w:rsidR="0027634F" w:rsidRPr="0027634F" w14:paraId="7AC00AA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D498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AB0A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681D76"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3EF815"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Meaning</w:t>
            </w:r>
          </w:p>
        </w:tc>
      </w:tr>
      <w:tr w:rsidR="0027634F" w:rsidRPr="0027634F" w14:paraId="24FB6E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59E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WAC per vial /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9D6D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4BE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F4D7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Core acquisition exposure per treatment</w:t>
            </w:r>
          </w:p>
        </w:tc>
      </w:tr>
      <w:tr w:rsidR="0027634F" w:rsidRPr="0027634F" w14:paraId="2C0444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34F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Dosing 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DDE3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Every 2 weeks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6079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F21E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26 administrations per year</w:t>
            </w:r>
          </w:p>
        </w:tc>
      </w:tr>
      <w:tr w:rsidR="0027634F" w:rsidRPr="0027634F" w14:paraId="016F40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05A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CB92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8919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52 weeks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742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Recurring high-dollar exposure</w:t>
            </w:r>
          </w:p>
        </w:tc>
      </w:tr>
      <w:tr w:rsidR="0027634F" w:rsidRPr="0027634F" w14:paraId="45554E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9AC5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Annual WAC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5508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$1,014,000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F6F5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 × 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E934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Baseline gross drug exposure</w:t>
            </w:r>
          </w:p>
        </w:tc>
      </w:tr>
      <w:tr w:rsidR="0027634F" w:rsidRPr="0027634F" w14:paraId="3B17FD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8C5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Two-quarter administrations before 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ABA5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C84D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26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0D3B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Pre-ASP exposure period</w:t>
            </w:r>
          </w:p>
        </w:tc>
      </w:tr>
      <w:tr w:rsidR="0027634F" w:rsidRPr="0027634F" w14:paraId="593C55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ABF2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Two-quarter WAC exposure before 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3817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ADE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512B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Inventory/payment exposure before ASP benchmark matures</w:t>
            </w:r>
          </w:p>
        </w:tc>
      </w:tr>
      <w:tr w:rsidR="0027634F" w:rsidRPr="0027634F" w14:paraId="042A9C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4C5C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Initial-sales Medicare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445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AC56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 × 103%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35E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Pre-ASP benchmark reference</w:t>
            </w:r>
          </w:p>
        </w:tc>
      </w:tr>
      <w:tr w:rsidR="0027634F" w:rsidRPr="0027634F" w14:paraId="392924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862C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Two-quarter benchmark reimbursement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210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$522,210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073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$40,170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BE91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Reimbursement benchmark before labor, denial, and delay</w:t>
            </w:r>
          </w:p>
        </w:tc>
      </w:tr>
      <w:tr w:rsidR="0027634F" w:rsidRPr="0027634F" w14:paraId="7A02BF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E3EB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Two-quarter gross spread before operating costs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A022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$15,210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140B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$522,210 - $507,000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BE52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Thin gross spread if not using 340B economics</w:t>
            </w:r>
          </w:p>
        </w:tc>
      </w:tr>
    </w:tbl>
    <w:p w14:paraId="567ED27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provider model uses $39,000 per 900 mg vial every two weeks, $1,014,000 per patient-year, and a $40,170 launch-period benchmark based on 103% of WAC before ASP is available.  </w:t>
      </w:r>
    </w:p>
    <w:p w14:paraId="5A5C070D" w14:textId="77777777" w:rsidR="0027634F" w:rsidRPr="0027634F" w:rsidRDefault="0027634F" w:rsidP="0027634F">
      <w:pPr>
        <w:spacing w:before="0" w:beforeAutospacing="0" w:after="0" w:afterAutospacing="0"/>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pict w14:anchorId="6A147B19">
          <v:rect id="_x0000_i1027" style="width:0;height:1.5pt" o:hralign="center" o:hrstd="t" o:hr="t" fillcolor="#a0a0a0" stroked="f"/>
        </w:pict>
      </w:r>
    </w:p>
    <w:p w14:paraId="17875AF0"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3. Site-of-Care and Customer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69"/>
        <w:gridCol w:w="1790"/>
        <w:gridCol w:w="3804"/>
        <w:gridCol w:w="2481"/>
      </w:tblGrid>
      <w:tr w:rsidR="0027634F" w:rsidRPr="0027634F" w14:paraId="57CF881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B85B2A"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Site / Customer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E3A04"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548A8A"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Why It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396DE"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Message</w:t>
            </w:r>
          </w:p>
        </w:tc>
      </w:tr>
      <w:tr w:rsidR="0027634F" w:rsidRPr="0027634F" w14:paraId="4CCA8A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55C4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Centers of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131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Primary target customers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EBA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Patients, specialists, pharmacy infrastructure, and rare-disease billing expertise are concentrated here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0487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“Adrabetadex launch will be COE-led.”</w:t>
            </w:r>
          </w:p>
        </w:tc>
      </w:tr>
      <w:tr w:rsidR="0027634F" w:rsidRPr="0027634F" w14:paraId="10FE8F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3B6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Pediatric specialty hospitals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ADB9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 core 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667E0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More likely to manage intrathecal administration, pediatric Medicaid, and rare-disease prior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FDB4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right sites already have much of the clinical infrastructure.”</w:t>
            </w:r>
          </w:p>
        </w:tc>
      </w:tr>
      <w:tr w:rsidR="0027634F" w:rsidRPr="0027634F" w14:paraId="163ECE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1822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hospitals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9AF3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Assume all primary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37D3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acquisition changes provider economics materially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67AB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site’s 340B status is central to the value story.”</w:t>
            </w:r>
          </w:p>
        </w:tc>
      </w:tr>
      <w:tr w:rsidR="0027634F" w:rsidRPr="0027634F" w14:paraId="325C18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7ED63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Non-340B community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CEA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Not the core first-wave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A276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Prior model showed fragile or negative economics outside 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64FB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“Non-340B logic is secondary for this ARM training version.”</w:t>
            </w:r>
          </w:p>
        </w:tc>
      </w:tr>
      <w:tr w:rsidR="0027634F" w:rsidRPr="0027634F" w14:paraId="7715B7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EB4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Physician office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BE2DF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Not primary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53A8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May matter for coding education, but not the core economic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283C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“Keep as background, not the main value story.”</w:t>
            </w:r>
          </w:p>
        </w:tc>
      </w:tr>
    </w:tbl>
    <w:p w14:paraId="1726725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existing model shows 340B pediatric COE economics as structurally advantaged, with acquisition of $29,991, modeled margin of $9,043 per administration, and annualized margin of $235,115, while non-340B commercial and Medicaid cases are near break-even or negative.  </w:t>
      </w:r>
    </w:p>
    <w:p w14:paraId="38FD8498"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51142F68">
          <v:rect id="_x0000_i1036" alt="" style="width:468pt;height:.05pt;mso-width-percent:0;mso-height-percent:0;mso-width-percent:0;mso-height-percent:0" o:hralign="center" o:hrstd="t" o:hr="t" fillcolor="#a0a0a0" stroked="f"/>
        </w:pict>
      </w:r>
    </w:p>
    <w:p w14:paraId="70D480E6"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4. 340B Economics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31"/>
        <w:gridCol w:w="1751"/>
        <w:gridCol w:w="1018"/>
        <w:gridCol w:w="3069"/>
        <w:gridCol w:w="1375"/>
      </w:tblGrid>
      <w:tr w:rsidR="0027634F" w:rsidRPr="0027634F" w14:paraId="004FB48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1F4E9"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340B 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D6422"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F7763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F2493"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Implication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AFA42"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Calculator Treatment</w:t>
            </w:r>
          </w:p>
        </w:tc>
      </w:tr>
      <w:tr w:rsidR="0027634F" w:rsidRPr="0027634F" w14:paraId="799D27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D97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 site 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2534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COEs are assumed to be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14E4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15E5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customer economics should be modeled as 340B, not as non-340B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1206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 340B</w:t>
            </w:r>
          </w:p>
        </w:tc>
      </w:tr>
      <w:tr w:rsidR="0027634F" w:rsidRPr="0027634F" w14:paraId="2FFC4B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F02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E29B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Launch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2F8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331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Acquisition reference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EB9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Fixed</w:t>
            </w:r>
          </w:p>
        </w:tc>
      </w:tr>
      <w:tr w:rsidR="0027634F" w:rsidRPr="0027634F" w14:paraId="3F9770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27B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Estimated 340B acquisition, primary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163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WAC less 23.1% estimate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1BB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E4F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Creates major spread advantage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95E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340B acquisition</w:t>
            </w:r>
          </w:p>
        </w:tc>
      </w:tr>
      <w:tr w:rsidR="0027634F" w:rsidRPr="0027634F" w14:paraId="0A6C04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EA8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Estimated 340B acquisition, sensitivity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CB28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WAC less 17.1% estimate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8A86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$32,331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60367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Shows sensitivity if pediatric rebate category differs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6CAB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Sensitivity toggle</w:t>
            </w:r>
          </w:p>
        </w:tc>
      </w:tr>
      <w:tr w:rsidR="0027634F" w:rsidRPr="0027634F" w14:paraId="5E8926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F04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Acquisition advantage vs WAC,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9230F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$39,000 - $29,991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E4E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$9,009 per dose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DB0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Explains why 340B is the main site value lever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E5B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Display prominently</w:t>
            </w:r>
          </w:p>
        </w:tc>
      </w:tr>
      <w:tr w:rsidR="0027634F" w:rsidRPr="0027634F" w14:paraId="10D859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89F1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Annual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B62A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$9,009 × 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3CCA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$234,234 per year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FCA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Converts 340B into an annual site-level economics story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9149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Display as annualized value</w:t>
            </w:r>
          </w:p>
        </w:tc>
      </w:tr>
      <w:tr w:rsidR="0027634F" w:rsidRPr="0027634F" w14:paraId="450447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6D8C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Two-quarter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6806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$9,009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938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$117,117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D3A7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Shows pre-ASP / early launch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98F53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Display for launch bridge</w:t>
            </w:r>
          </w:p>
        </w:tc>
      </w:tr>
    </w:tbl>
    <w:p w14:paraId="502C51E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combined brief identifies estimated 340B acquisition at $29,991 under the 23.1% URA assumption and $32,331 under the 17.1% URA assumption, and it states that 340B participation fundamentally changes the provider result.  </w:t>
      </w:r>
    </w:p>
    <w:p w14:paraId="4F4F1E14"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145F6A95">
          <v:rect id="_x0000_i1035" alt="" style="width:468pt;height:.05pt;mso-width-percent:0;mso-height-percent:0;mso-width-percent:0;mso-height-percent:0" o:hralign="center" o:hrstd="t" o:hr="t" fillcolor="#a0a0a0" stroked="f"/>
        </w:pict>
      </w:r>
    </w:p>
    <w:p w14:paraId="2941B537"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5. Coding and Payment Timing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97"/>
        <w:gridCol w:w="2381"/>
        <w:gridCol w:w="1543"/>
        <w:gridCol w:w="2110"/>
        <w:gridCol w:w="2013"/>
      </w:tblGrid>
      <w:tr w:rsidR="0027634F" w:rsidRPr="0027634F" w14:paraId="74D88D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1D18D"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Workstream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60EE82"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AB45D"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Date / Timing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D6240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What ARMs Need to Know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31355A"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Training Message</w:t>
            </w:r>
          </w:p>
        </w:tc>
      </w:tr>
      <w:tr w:rsidR="0027634F" w:rsidRPr="0027634F" w14:paraId="096C6F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905C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FDA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F3F1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Approval gates commercial billing and pass-through package completion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C43E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August 17,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F69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Approval letter and final label are needed for CMS processes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FD5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“Approval starts the reimbursement clock.”</w:t>
            </w:r>
          </w:p>
        </w:tc>
      </w:tr>
      <w:tr w:rsidR="0027634F" w:rsidRPr="0027634F" w14:paraId="7F80AF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9C8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Launch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AB0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Product-specific HCPCS not active at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107A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August 2026 launch window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E29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Interim billing is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C04C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“Early claims need clean interim coding support.”</w:t>
            </w:r>
          </w:p>
        </w:tc>
      </w:tr>
      <w:tr w:rsidR="0027634F" w:rsidRPr="0027634F" w14:paraId="3DF60A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E325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Interim hospital outpatient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3EFE4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C9399 or NOC pathway may be used depending on setting and payer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D406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Approval to permanent-code effective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DB1F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Requires NDC, dosage, narrative, and clean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F17A8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“Billing guide must be ready before first commercial dose.”</w:t>
            </w:r>
          </w:p>
        </w:tc>
      </w:tr>
      <w:tr w:rsidR="0027634F" w:rsidRPr="0027634F" w14:paraId="1A3176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61C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OPPS 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D68C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Separate from 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A749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January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873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Provides near-term HOPD payment support and predictability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DB5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 is the outpatient payment bridge.”</w:t>
            </w:r>
          </w:p>
        </w:tc>
      </w:tr>
      <w:tr w:rsidR="0027634F" w:rsidRPr="0027634F" w14:paraId="241598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9584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A0D3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Product-specific permanent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AA505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April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D93D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Improves claim clarity and reduces miscellaneous-code friction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268DA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 HCPCS is the clean-code endpoint.”</w:t>
            </w:r>
          </w:p>
        </w:tc>
      </w:tr>
      <w:tr w:rsidR="0027634F" w:rsidRPr="0027634F" w14:paraId="083E7C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706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ASP availability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FBC1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Not available at launch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EE3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After sufficient sales/reporting lag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A7EF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Pre-ASP payment uses WAC-based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6C13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“Before ASP, WAC is the benchmark anchor.”</w:t>
            </w:r>
          </w:p>
        </w:tc>
      </w:tr>
    </w:tbl>
    <w:p w14:paraId="60438B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coding brief states that with a supplied August 17, 2026 PDUFA date, the first full quarterly coding window after approval is October 1, 2026, targeting an April 1, 2027 effective date for a permanent product-specific HCPCS code. It also states that a September 1, 2026 pass-through filing can target a January 1, 2027 effective date.  </w:t>
      </w:r>
    </w:p>
    <w:p w14:paraId="1A53C266"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59FCAF79">
          <v:rect id="_x0000_i1034" alt="" style="width:468pt;height:.05pt;mso-width-percent:0;mso-height-percent:0;mso-width-percent:0;mso-height-percent:0" o:hralign="center" o:hrstd="t" o:hr="t" fillcolor="#a0a0a0" stroked="f"/>
        </w:pict>
      </w:r>
    </w:p>
    <w:p w14:paraId="1A559182"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6. Launch Period Timeline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11"/>
        <w:gridCol w:w="1887"/>
        <w:gridCol w:w="2289"/>
        <w:gridCol w:w="2737"/>
        <w:gridCol w:w="1120"/>
      </w:tblGrid>
      <w:tr w:rsidR="0027634F" w:rsidRPr="0027634F" w14:paraId="3850532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BE285"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EDEE4B"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B9540"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Coding / Payment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9A892"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Training 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4A73A"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Calculator Mode</w:t>
            </w:r>
          </w:p>
        </w:tc>
      </w:tr>
      <w:tr w:rsidR="0027634F" w:rsidRPr="0027634F" w14:paraId="0A6BA8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20AE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Launch to year-end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8372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Aug. 17, 2026 to Dec. 31,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9804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FDA-approved, no permanent HCPCS, pre-pass-through, pre-ASP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2C0AB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Interim billing, documentation, NDC capture, prior authorization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351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Launch bridge mode</w:t>
            </w:r>
          </w:p>
        </w:tc>
      </w:tr>
      <w:tr w:rsidR="0027634F" w:rsidRPr="0027634F" w14:paraId="25BE64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9DE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 active, pre-HCPCS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634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Jan. 1, 2027 to Mar. 31,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26D3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OPPS pass-through active, permanent HCPCS not yet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EB5C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HOPD payment predictability improves, but interim coding still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00F7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 bridge mode</w:t>
            </w:r>
          </w:p>
        </w:tc>
      </w:tr>
      <w:tr w:rsidR="0027634F" w:rsidRPr="0027634F" w14:paraId="4D7C45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294B3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 HCPCS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84FC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April 1, 2027 onward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A7A3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Product-specific HCPCS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F446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Cleaner claims, reduced miscellaneous-code burden, stronger provider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10F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Permanent-code mode</w:t>
            </w:r>
          </w:p>
        </w:tc>
      </w:tr>
      <w:tr w:rsidR="0027634F" w:rsidRPr="0027634F" w14:paraId="1F0854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EE7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ASP maturation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7FCDE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After first two quarters of commercial data/reporting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0B0A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ASP-based payment begins once available in CMS files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7480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Update assumptions once ASP is published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3DB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ASP update mode</w:t>
            </w:r>
          </w:p>
        </w:tc>
      </w:tr>
    </w:tbl>
    <w:p w14:paraId="1D9FCBE9"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747F48A4">
          <v:rect id="_x0000_i1033" alt="" style="width:468pt;height:.05pt;mso-width-percent:0;mso-height-percent:0;mso-width-percent:0;mso-height-percent:0" o:hralign="center" o:hrstd="t" o:hr="t" fillcolor="#a0a0a0" stroked="f"/>
        </w:pict>
      </w:r>
    </w:p>
    <w:p w14:paraId="165E6FB5"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7. Commercial Friction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05"/>
        <w:gridCol w:w="1440"/>
        <w:gridCol w:w="1897"/>
        <w:gridCol w:w="2831"/>
        <w:gridCol w:w="1471"/>
      </w:tblGrid>
      <w:tr w:rsidR="0027634F" w:rsidRPr="0027634F" w14:paraId="57E876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F01FDC"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Friction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32218"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3FF77D"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Beren Mitigation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67184"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Message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3DBF81"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Calculator Relevance</w:t>
            </w:r>
          </w:p>
        </w:tc>
      </w:tr>
      <w:tr w:rsidR="0027634F" w:rsidRPr="0027634F" w14:paraId="4F17CA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9E6E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Prior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B1AC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Valid and 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F4A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Pre-authorization letter / medical necessity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223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“We expect PA, and the team is equipped to support 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686C8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 probability / approval status</w:t>
            </w:r>
          </w:p>
        </w:tc>
      </w:tr>
      <w:tr w:rsidR="0027634F" w:rsidRPr="0027634F" w14:paraId="1F667A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0270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Genetic confirmation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553D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 in analogous NPC policies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D357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Documentation checklist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990D7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“Genetic confirmation should be prepared before submission.”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581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Documentation completeness</w:t>
            </w:r>
          </w:p>
        </w:tc>
      </w:tr>
      <w:tr w:rsidR="0027634F" w:rsidRPr="0027634F" w14:paraId="584AD0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8CB7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Specialist prescribing /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154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1E0F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Prescriber attestation / clinical support packet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156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“Specialist involvement should be positioned as expected, not exceptional.”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236B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 readiness</w:t>
            </w:r>
          </w:p>
        </w:tc>
      </w:tr>
      <w:tr w:rsidR="0027634F" w:rsidRPr="0027634F" w14:paraId="3AA7BB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2D57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Continuation criteria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8F22A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0405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Renewal / continuation support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06E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“Reauthorization must be planned from 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4561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Reauth timing / continuation risk</w:t>
            </w:r>
          </w:p>
        </w:tc>
      </w:tr>
      <w:tr w:rsidR="0027634F" w:rsidRPr="0027634F" w14:paraId="234B8B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F9D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Site-of-care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AA8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Valid and 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C42C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Site-of-care support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AC4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 administration should be framed as clinically and operationally appropriate.”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2044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 approval risk</w:t>
            </w:r>
          </w:p>
        </w:tc>
      </w:tr>
      <w:tr w:rsidR="0027634F" w:rsidRPr="0027634F" w14:paraId="1872FE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405B5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White-bagging / specialty pharmacy sourcing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E22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Valid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D45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Channel-specific payer response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F1F5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“White-bagging may reduce inventory exposure but can remove 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27D6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Buy-and-bill vs white-bagging toggle</w:t>
            </w:r>
          </w:p>
        </w:tc>
      </w:tr>
      <w:tr w:rsidR="0027634F" w:rsidRPr="0027634F" w14:paraId="1C5801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AB218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A71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 in launch gap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4B51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3031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“Denials are manageable only if the response pathway is ready.”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BB41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Denial/rework cost</w:t>
            </w:r>
          </w:p>
        </w:tc>
      </w:tr>
      <w:tr w:rsidR="0027634F" w:rsidRPr="0027634F" w14:paraId="3583B4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A0D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NDC / claim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6CB3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Required for clean 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ED3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Billing guide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58DA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“Clean claim construction is part of the access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80E9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Claim quality input</w:t>
            </w:r>
          </w:p>
        </w:tc>
      </w:tr>
    </w:tbl>
    <w:p w14:paraId="18BB29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combined brief documents that analogous commercial policies use genetic confirmation, specialist oversight, continuation based on documented positive response, overlap controls, precertification, site-of-care management, and administration requirements. It also identifies specialty-pharmacy sourcing as a separate access-control channel that can determine whether the provider bills for the drug or only administration.  </w:t>
      </w:r>
    </w:p>
    <w:p w14:paraId="5F438D89"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267A3122">
          <v:rect id="_x0000_i1032" alt="" style="width:468pt;height:.05pt;mso-width-percent:0;mso-height-percent:0;mso-width-percent:0;mso-height-percent:0" o:hralign="center" o:hrstd="t" o:hr="t" fillcolor="#a0a0a0" stroked="f"/>
        </w:pict>
      </w:r>
    </w:p>
    <w:p w14:paraId="3D999BF5"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8. ARM and Patient-Team Tool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54"/>
        <w:gridCol w:w="1700"/>
        <w:gridCol w:w="2070"/>
        <w:gridCol w:w="1280"/>
        <w:gridCol w:w="2940"/>
      </w:tblGrid>
      <w:tr w:rsidR="0027634F" w:rsidRPr="0027634F" w14:paraId="47F3644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0E204"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B8F64"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Primary User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E8C44D"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F70B2"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Where It Fits in Workflow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35BBD"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Training Message</w:t>
            </w:r>
          </w:p>
        </w:tc>
      </w:tr>
      <w:tr w:rsidR="0027634F" w:rsidRPr="0027634F" w14:paraId="10EA6E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A28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Pre-Authorization 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FA8C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ARM / patient access team / provider office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A3D4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Supports initial payer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EE5B2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Before first dose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B0EF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 not let the site build the PA record from scratch.”</w:t>
            </w:r>
          </w:p>
        </w:tc>
      </w:tr>
      <w:tr w:rsidR="0027634F" w:rsidRPr="0027634F" w14:paraId="3999AF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4C53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Medical Necessity 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F2ED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Provider / patient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25CA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Establishes clinical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A222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 and appeal packet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D127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“Tie diagnosis, disease severity, treatment rationale, and site-of-care need together.”</w:t>
            </w:r>
          </w:p>
        </w:tc>
      </w:tr>
      <w:tr w:rsidR="0027634F" w:rsidRPr="0027634F" w14:paraId="6E8ADF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6070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8F9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Patient team / provider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8441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Responds to payer denial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804C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Post-denial / resubmission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D61B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“Denial response should be standardized and fast.”</w:t>
            </w:r>
          </w:p>
        </w:tc>
      </w:tr>
      <w:tr w:rsidR="0027634F" w:rsidRPr="0027634F" w14:paraId="0EDD38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B142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Billing Guide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17C6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ARM / provider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F546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Supports HCPCS/NOC/C9399/NDC claim construction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853E4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Before first commercial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3A5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“Billing readiness should precede dosing.”</w:t>
            </w:r>
          </w:p>
        </w:tc>
      </w:tr>
      <w:tr w:rsidR="0027634F" w:rsidRPr="0027634F" w14:paraId="3AF1D4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60B0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Site-of-Care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1438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ARM / provider / payer access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8C99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Defends COE or hospital outpatient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B8C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 and site-of-care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C908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 care is part of the clinical and operational logic.”</w:t>
            </w:r>
          </w:p>
        </w:tc>
      </w:tr>
      <w:tr w:rsidR="0027634F" w:rsidRPr="0027634F" w14:paraId="65B768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8C2D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Reauthorization Checklist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6C13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Patient access team / provider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E328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Supports continuation coverage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A5CB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Before renewal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642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“Continuation evidence starts with baseline documentation.”</w:t>
            </w:r>
          </w:p>
        </w:tc>
      </w:tr>
      <w:tr w:rsidR="0027634F" w:rsidRPr="0027634F" w14:paraId="44CF94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B033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Net-Cost Recovery Calculator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730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1C7C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Shows provider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DAEEB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 value discussion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3FB6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“This converts reimbursement mechanics into site-level economics.”</w:t>
            </w:r>
          </w:p>
        </w:tc>
      </w:tr>
      <w:tr w:rsidR="0027634F" w:rsidRPr="0027634F" w14:paraId="41C491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FD6C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One-Page PDF 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03F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ARM / provider stakeholder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0BC7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Summarizes scenario-specific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B88D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Leave-behind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D3E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“Use as the executive summary of the calculator result.”</w:t>
            </w:r>
          </w:p>
        </w:tc>
      </w:tr>
    </w:tbl>
    <w:p w14:paraId="2D00F2AA"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0AAD73F5">
          <v:rect id="_x0000_i1031" alt="" style="width:468pt;height:.05pt;mso-width-percent:0;mso-height-percent:0;mso-width-percent:0;mso-height-percent:0" o:hralign="center" o:hrstd="t" o:hr="t" fillcolor="#a0a0a0" stroked="f"/>
        </w:pict>
      </w:r>
    </w:p>
    <w:p w14:paraId="186A1C68"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9. Medicaid / EPSDT / PAD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55"/>
        <w:gridCol w:w="3397"/>
        <w:gridCol w:w="3205"/>
        <w:gridCol w:w="1487"/>
      </w:tblGrid>
      <w:tr w:rsidR="0027634F" w:rsidRPr="0027634F" w14:paraId="6AFB901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0818C"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Topic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06A171"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C2DC4"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Training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47725"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Calculator Treatment</w:t>
            </w:r>
          </w:p>
        </w:tc>
      </w:tr>
      <w:tr w:rsidR="0027634F" w:rsidRPr="0027634F" w14:paraId="54ABC3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3D7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Medicaid relevance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9350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Meaningful due to pediatric population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3F13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Medicaid should be treated as a core payer segment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969C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Separate Medicaid scenario</w:t>
            </w:r>
          </w:p>
        </w:tc>
      </w:tr>
      <w:tr w:rsidR="0027634F" w:rsidRPr="0027634F" w14:paraId="266947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860DE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EPSDT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0A3E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Coverage tailwind for medically necessary pediatric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D6D5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Helps the coverage argument, not the payment formula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9D1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Narrative support</w:t>
            </w:r>
          </w:p>
        </w:tc>
      </w:tr>
      <w:tr w:rsidR="0027634F" w:rsidRPr="0027634F" w14:paraId="0E4ECD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7393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B43C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Adrabetadex is treated as physician-administered / clinician-administered drug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25189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NDC and claim integrity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D422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Claim quality field</w:t>
            </w:r>
          </w:p>
        </w:tc>
      </w:tr>
      <w:tr w:rsidR="0027634F" w:rsidRPr="0027634F" w14:paraId="73C222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5FA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Medicaid managed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8D2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May add payer-specific PA and sourcing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D9E0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 not assume FFS and MCO are the same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480E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FFS vs MCO toggle</w:t>
            </w:r>
          </w:p>
        </w:tc>
      </w:tr>
      <w:tr w:rsidR="0027634F" w:rsidRPr="0027634F" w14:paraId="4D251A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6E38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Medicaid handling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4CE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Duplicate-discount controls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F417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 must manage carve-in / carve-out accurately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EE00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Medicaid flag</w:t>
            </w:r>
          </w:p>
        </w:tc>
      </w:tr>
      <w:tr w:rsidR="0027634F" w:rsidRPr="0027634F" w14:paraId="6C8926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E319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19B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0A17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Medicaid economics should not default to non-340B loss model for target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198A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Medicaid COE = 340B</w:t>
            </w:r>
          </w:p>
        </w:tc>
      </w:tr>
    </w:tbl>
    <w:p w14:paraId="648AE72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prior provider model correctly shows that Medicaid non-340B economics are negative, but under the revised working facts, the ARM-facing model should default target COE Medicaid scenarios to 340B because the primary customers are 340B entities. The concept brief still remains useful for showing why 340B status changes behavior and why Medicaid claim integrity cannot be ignored.  </w:t>
      </w:r>
    </w:p>
    <w:p w14:paraId="3FD2128A"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16D87560">
          <v:rect id="_x0000_i1030" alt="" style="width:468pt;height:.05pt;mso-width-percent:0;mso-height-percent:0;mso-width-percent:0;mso-height-percent:0" o:hralign="center" o:hrstd="t" o:hr="t" fillcolor="#a0a0a0" stroked="f"/>
        </w:pict>
      </w:r>
    </w:p>
    <w:p w14:paraId="791E1664"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10. Value Story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59"/>
        <w:gridCol w:w="2419"/>
        <w:gridCol w:w="3528"/>
        <w:gridCol w:w="1838"/>
      </w:tblGrid>
      <w:tr w:rsidR="0027634F" w:rsidRPr="0027634F" w14:paraId="368130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DE780"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Value Story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B6E600"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Current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2794B"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ARM Translation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436A5"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Proof / Model Output</w:t>
            </w:r>
          </w:p>
        </w:tc>
      </w:tr>
      <w:tr w:rsidR="0027634F" w:rsidRPr="0027634F" w14:paraId="2978B1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619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Clinical need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D051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Ultra-rare, severe pediatric disease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9307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COEs understand the clinical need, but need reimbursement certainty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4497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Clinical narrative</w:t>
            </w:r>
          </w:p>
        </w:tc>
      </w:tr>
      <w:tr w:rsidR="0027634F" w:rsidRPr="0027634F" w14:paraId="1FA5B4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F41A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High acquisition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F5C2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 per dose, $1.014M annually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499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Sites need confidence before stocking and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B91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Acquisition exposure output</w:t>
            </w:r>
          </w:p>
        </w:tc>
      </w:tr>
      <w:tr w:rsidR="0027634F" w:rsidRPr="0027634F" w14:paraId="2C965E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F805F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Target-site concentration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9F9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COEs are the main customers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AFA7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One core training story can apply across most target accounts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F36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 profile field</w:t>
            </w:r>
          </w:p>
        </w:tc>
      </w:tr>
      <w:tr w:rsidR="0027634F" w:rsidRPr="0027634F" w14:paraId="685698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02C2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advantage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A9EC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ACE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Main economic lever is acquisition advantage vs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B6AEA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Per-dose and annual 340B value</w:t>
            </w:r>
          </w:p>
        </w:tc>
      </w:tr>
      <w:tr w:rsidR="0027634F" w:rsidRPr="0027634F" w14:paraId="08FBAA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464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D76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Jan.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5471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HOPD payment predictability improves early in launch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4F22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 scenario</w:t>
            </w:r>
          </w:p>
        </w:tc>
      </w:tr>
      <w:tr w:rsidR="0027634F" w:rsidRPr="0027634F" w14:paraId="0E8A1F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157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8FB6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Apr.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1C43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Claim clarity improves after the bridge 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20A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Permanent-code scenario</w:t>
            </w:r>
          </w:p>
        </w:tc>
      </w:tr>
      <w:tr w:rsidR="0027634F" w:rsidRPr="0027634F" w14:paraId="3C6258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3D27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Beren support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DF1A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 denial, billing, and access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1C5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Commercial friction is expected but addressable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883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Tool checklist</w:t>
            </w:r>
          </w:p>
        </w:tc>
      </w:tr>
      <w:tr w:rsidR="0027634F" w:rsidRPr="0027634F" w14:paraId="6EF3E7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74C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Provider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F26F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 COE margin is structurally advantaged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96D02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economics can work at the right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BB929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Net margin output</w:t>
            </w:r>
          </w:p>
        </w:tc>
      </w:tr>
    </w:tbl>
    <w:p w14:paraId="1DF78867"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76CB365A">
          <v:rect id="_x0000_i1029" alt="" style="width:468pt;height:.05pt;mso-width-percent:0;mso-height-percent:0;mso-width-percent:0;mso-height-percent:0" o:hralign="center" o:hrstd="t" o:hr="t" fillcolor="#a0a0a0" stroked="f"/>
        </w:pict>
      </w:r>
    </w:p>
    <w:p w14:paraId="3C38AAF7"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11. Revised Calculator Default Assumption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38"/>
        <w:gridCol w:w="3001"/>
        <w:gridCol w:w="4105"/>
      </w:tblGrid>
      <w:tr w:rsidR="0027634F" w:rsidRPr="0027634F" w14:paraId="6667E89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38D83"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8B4E1"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Old / Broad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FF0DB" w14:textId="77777777" w:rsidR="0027634F" w:rsidRPr="0027634F" w:rsidRDefault="0027634F" w:rsidP="0027634F">
            <w:pPr>
              <w:jc w:val="center"/>
              <w:rPr>
                <w:rFonts w:ascii="Times New Roman" w:eastAsia="Times New Roman" w:hAnsi="Times New Roman" w:cs="Times New Roman"/>
                <w:b/>
                <w:bCs/>
                <w:kern w:val="0"/>
                <w14:ligatures w14:val="none"/>
              </w:rPr>
            </w:pPr>
            <w:r w:rsidRPr="0027634F">
              <w:rPr>
                <w:rFonts w:ascii="Times New Roman" w:eastAsia="Times New Roman" w:hAnsi="Times New Roman" w:cs="Times New Roman"/>
                <w:b/>
                <w:bCs/>
                <w:kern w:val="0"/>
                <w14:ligatures w14:val="none"/>
              </w:rPr>
              <w:t>Revised ARM Training Default</w:t>
            </w:r>
          </w:p>
        </w:tc>
      </w:tr>
      <w:tr w:rsidR="0027634F" w:rsidRPr="0027634F" w14:paraId="42B887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5292F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CEA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HOPD / office / community / COE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558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COE / pediatric specialty hospital</w:t>
            </w:r>
          </w:p>
        </w:tc>
      </w:tr>
      <w:tr w:rsidR="0027634F" w:rsidRPr="0027634F" w14:paraId="56CDCB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2F9F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C70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Toggle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0893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Default = Yes</w:t>
            </w:r>
          </w:p>
        </w:tc>
      </w:tr>
      <w:tr w:rsidR="0027634F" w:rsidRPr="0027634F" w14:paraId="4676C6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7993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E2AA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60C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$39,000</w:t>
            </w:r>
          </w:p>
        </w:tc>
      </w:tr>
      <w:tr w:rsidR="0027634F" w:rsidRPr="0027634F" w14:paraId="2395CC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DB0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Dosing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B68B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Every 2 weeks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BFB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Every 2 weeks</w:t>
            </w:r>
          </w:p>
        </w:tc>
      </w:tr>
      <w:tr w:rsidR="0027634F" w:rsidRPr="0027634F" w14:paraId="768F44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34A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ECB0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90796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26</w:t>
            </w:r>
          </w:p>
        </w:tc>
      </w:tr>
      <w:tr w:rsidR="0027634F" w:rsidRPr="0027634F" w14:paraId="3828F3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B57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Pre-ASP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4A4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477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13</w:t>
            </w:r>
          </w:p>
        </w:tc>
      </w:tr>
      <w:tr w:rsidR="0027634F" w:rsidRPr="0027634F" w14:paraId="3573B2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ABE0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8C0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Scenario-dependent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9E93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Jan. 1, 2027</w:t>
            </w:r>
          </w:p>
        </w:tc>
      </w:tr>
      <w:tr w:rsidR="0027634F" w:rsidRPr="0027634F" w14:paraId="3C8723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0827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AE31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Scenario-dependent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8759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Effective Apr. 1, 2027</w:t>
            </w:r>
          </w:p>
        </w:tc>
      </w:tr>
      <w:tr w:rsidR="0027634F" w:rsidRPr="0027634F" w14:paraId="3A902E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C4D9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Commercial friction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932B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Risk factors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C157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Expected, mitigated with Beren tools</w:t>
            </w:r>
          </w:p>
        </w:tc>
      </w:tr>
      <w:tr w:rsidR="0027634F" w:rsidRPr="0027634F" w14:paraId="1B832E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1EE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Non-340B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2EFC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Major 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A30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Secondary / sensitivity only</w:t>
            </w:r>
          </w:p>
        </w:tc>
      </w:tr>
      <w:tr w:rsidR="0027634F" w:rsidRPr="0027634F" w14:paraId="4FAF44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3F4A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Core 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EE74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Compare all channels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E026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Show 340B COE value and operational readiness</w:t>
            </w:r>
          </w:p>
        </w:tc>
      </w:tr>
    </w:tbl>
    <w:p w14:paraId="11E47C02" w14:textId="77777777" w:rsidR="0027634F" w:rsidRPr="0027634F" w:rsidRDefault="00746CAD" w:rsidP="0027634F">
      <w:pPr>
        <w:spacing w:before="0" w:beforeAutospacing="0" w:after="0" w:afterAutospacing="0"/>
        <w:rPr>
          <w:rFonts w:ascii="Times New Roman" w:eastAsia="Times New Roman" w:hAnsi="Times New Roman" w:cs="Times New Roman"/>
          <w:kern w:val="0"/>
          <w14:ligatures w14:val="none"/>
        </w:rPr>
      </w:pPr>
      <w:r w:rsidRPr="00746CAD">
        <w:rPr>
          <w:rFonts w:ascii="Times New Roman" w:eastAsia="Times New Roman" w:hAnsi="Times New Roman" w:cs="Times New Roman"/>
          <w:noProof/>
          <w:kern w:val="0"/>
        </w:rPr>
        <w:pict w14:anchorId="03E9E08D">
          <v:rect id="_x0000_i1028" alt="" style="width:468pt;height:.05pt;mso-width-percent:0;mso-height-percent:0;mso-width-percent:0;mso-height-percent:0" o:hralign="center" o:hrstd="t" o:hr="t" fillcolor="#a0a0a0" stroked="f"/>
        </w:pict>
      </w:r>
    </w:p>
    <w:p w14:paraId="05761C77" w14:textId="77777777" w:rsidR="0027634F" w:rsidRPr="0027634F" w:rsidRDefault="0027634F" w:rsidP="0027634F">
      <w:pPr>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12. Final ARM Training Thesis</w:t>
      </w:r>
    </w:p>
    <w:p w14:paraId="1F2EBC8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Adrabetadex launch adoption will be COE-led. Because the target centers are 340B entities, the provider value story is not primarily about rescuing fragile non-340B economics. It is about showing 340B centers that Adrabetadex can be administered through a predictable reimbursement pathway once pass-through, interim billing support, permanent HCPCS timing, and payer-access tools are understood.</w:t>
      </w:r>
    </w:p>
    <w:p w14:paraId="5F0247F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practical message:</w:t>
      </w:r>
    </w:p>
    <w:p w14:paraId="7590149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At the target sites, the economics can work. The ARM job is to make the pathway visible, reduce reimbursement uncertainty, and show the institution how 340B acquisition, pass-through timing, clean billing, and Beren’s access tools convert clinical interest into operational adoption.</w:t>
      </w:r>
    </w:p>
    <w:p w14:paraId="5A7EFD4C" w14:textId="77777777" w:rsidR="00CE6975" w:rsidRDefault="00CE6975"/>
    <w:sectPr w:rsidR="00CE6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49D9"/>
    <w:multiLevelType w:val="multilevel"/>
    <w:tmpl w:val="BAF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4F"/>
    <w:rsid w:val="0027634F"/>
    <w:rsid w:val="00437277"/>
    <w:rsid w:val="004D09E2"/>
    <w:rsid w:val="00746CAD"/>
    <w:rsid w:val="009808CF"/>
    <w:rsid w:val="00AD4CCB"/>
    <w:rsid w:val="00CE6975"/>
    <w:rsid w:val="00DC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A4D7"/>
  <w15:chartTrackingRefBased/>
  <w15:docId w15:val="{DDA71AF5-E947-AB4D-A9E2-31564F30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6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4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4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6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4F"/>
    <w:rPr>
      <w:rFonts w:eastAsiaTheme="majorEastAsia" w:cstheme="majorBidi"/>
      <w:color w:val="272727" w:themeColor="text1" w:themeTint="D8"/>
    </w:rPr>
  </w:style>
  <w:style w:type="paragraph" w:styleId="Title">
    <w:name w:val="Title"/>
    <w:basedOn w:val="Normal"/>
    <w:next w:val="Normal"/>
    <w:link w:val="TitleChar"/>
    <w:uiPriority w:val="10"/>
    <w:qFormat/>
    <w:rsid w:val="0027634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4F"/>
    <w:rPr>
      <w:i/>
      <w:iCs/>
      <w:color w:val="404040" w:themeColor="text1" w:themeTint="BF"/>
    </w:rPr>
  </w:style>
  <w:style w:type="paragraph" w:styleId="ListParagraph">
    <w:name w:val="List Paragraph"/>
    <w:basedOn w:val="Normal"/>
    <w:uiPriority w:val="34"/>
    <w:qFormat/>
    <w:rsid w:val="0027634F"/>
    <w:pPr>
      <w:ind w:left="720"/>
      <w:contextualSpacing/>
    </w:pPr>
  </w:style>
  <w:style w:type="character" w:styleId="IntenseEmphasis">
    <w:name w:val="Intense Emphasis"/>
    <w:basedOn w:val="DefaultParagraphFont"/>
    <w:uiPriority w:val="21"/>
    <w:qFormat/>
    <w:rsid w:val="0027634F"/>
    <w:rPr>
      <w:i/>
      <w:iCs/>
      <w:color w:val="2F5496" w:themeColor="accent1" w:themeShade="BF"/>
    </w:rPr>
  </w:style>
  <w:style w:type="paragraph" w:styleId="IntenseQuote">
    <w:name w:val="Intense Quote"/>
    <w:basedOn w:val="Normal"/>
    <w:next w:val="Normal"/>
    <w:link w:val="IntenseQuoteChar"/>
    <w:uiPriority w:val="30"/>
    <w:qFormat/>
    <w:rsid w:val="00276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34F"/>
    <w:rPr>
      <w:i/>
      <w:iCs/>
      <w:color w:val="2F5496" w:themeColor="accent1" w:themeShade="BF"/>
    </w:rPr>
  </w:style>
  <w:style w:type="character" w:styleId="IntenseReference">
    <w:name w:val="Intense Reference"/>
    <w:basedOn w:val="DefaultParagraphFont"/>
    <w:uiPriority w:val="32"/>
    <w:qFormat/>
    <w:rsid w:val="0027634F"/>
    <w:rPr>
      <w:b/>
      <w:bCs/>
      <w:smallCaps/>
      <w:color w:val="2F5496" w:themeColor="accent1" w:themeShade="BF"/>
      <w:spacing w:val="5"/>
    </w:rPr>
  </w:style>
  <w:style w:type="character" w:customStyle="1" w:styleId="s1">
    <w:name w:val="s1"/>
    <w:basedOn w:val="DefaultParagraphFont"/>
    <w:rsid w:val="0027634F"/>
  </w:style>
  <w:style w:type="paragraph" w:customStyle="1" w:styleId="p2">
    <w:name w:val="p2"/>
    <w:basedOn w:val="Normal"/>
    <w:rsid w:val="0027634F"/>
    <w:rPr>
      <w:rFonts w:ascii="Times New Roman" w:eastAsia="Times New Roman" w:hAnsi="Times New Roman" w:cs="Times New Roman"/>
      <w:kern w:val="0"/>
      <w14:ligatures w14:val="none"/>
    </w:rPr>
  </w:style>
  <w:style w:type="character" w:customStyle="1" w:styleId="s2">
    <w:name w:val="s2"/>
    <w:basedOn w:val="DefaultParagraphFont"/>
    <w:rsid w:val="0027634F"/>
  </w:style>
  <w:style w:type="paragraph" w:customStyle="1" w:styleId="p1">
    <w:name w:val="p1"/>
    <w:basedOn w:val="Normal"/>
    <w:rsid w:val="0027634F"/>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634F"/>
  </w:style>
  <w:style w:type="paragraph" w:customStyle="1" w:styleId="p3">
    <w:name w:val="p3"/>
    <w:basedOn w:val="Normal"/>
    <w:rsid w:val="0027634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1</cp:revision>
  <dcterms:created xsi:type="dcterms:W3CDTF">2026-04-19T18:05:00Z</dcterms:created>
  <dcterms:modified xsi:type="dcterms:W3CDTF">2026-04-19T18:05:00Z</dcterms:modified>
</cp:coreProperties>
</file>