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6CD3" w14:textId="162D2019" w:rsidR="00DB39A9" w:rsidRPr="00DB39A9" w:rsidRDefault="00F73DB8" w:rsidP="00DB39A9">
      <w:pPr>
        <w:rPr>
          <w:rFonts w:ascii="Times New Roman" w:eastAsia="Times New Roman" w:hAnsi="Times New Roman" w:cs="Times New Roman"/>
          <w:kern w:val="0"/>
          <w14:ligatures w14:val="none"/>
        </w:rPr>
      </w:pPr>
      <w:bookmarkStart w:id="0" w:name="_Hlk226117591"/>
      <w:r>
        <w:rPr>
          <w:rFonts w:ascii="Times New Roman" w:eastAsia="Times New Roman" w:hAnsi="Times New Roman" w:cs="Times New Roman"/>
          <w:kern w:val="0"/>
          <w14:ligatures w14:val="none"/>
        </w:rPr>
        <w:t>Apologies,</w:t>
      </w:r>
      <w:r w:rsidR="00DB39A9" w:rsidRPr="00DB39A9">
        <w:rPr>
          <w:rFonts w:ascii="Times New Roman" w:eastAsia="Times New Roman" w:hAnsi="Times New Roman" w:cs="Times New Roman"/>
          <w:kern w:val="0"/>
          <w14:ligatures w14:val="none"/>
        </w:rPr>
        <w:t xml:space="preserve"> for the formatting issues and any typos below</w:t>
      </w:r>
      <w:r w:rsidR="00DB39A9">
        <w:rPr>
          <w:rFonts w:ascii="Times New Roman" w:eastAsia="Times New Roman" w:hAnsi="Times New Roman" w:cs="Times New Roman"/>
          <w:kern w:val="0"/>
          <w14:ligatures w14:val="none"/>
        </w:rPr>
        <w:t xml:space="preserve"> (specifically “lighting” instead of “weighting”)</w:t>
      </w:r>
      <w:r w:rsidR="00DB39A9" w:rsidRPr="00DB39A9">
        <w:rPr>
          <w:rFonts w:ascii="Times New Roman" w:eastAsia="Times New Roman" w:hAnsi="Times New Roman" w:cs="Times New Roman"/>
          <w:kern w:val="0"/>
          <w14:ligatures w14:val="none"/>
        </w:rPr>
        <w:t>, the transition from Word to email did not translate cleanly</w:t>
      </w:r>
      <w:r w:rsidR="00DB39A9">
        <w:rPr>
          <w:rFonts w:ascii="Times New Roman" w:eastAsia="Times New Roman" w:hAnsi="Times New Roman" w:cs="Times New Roman"/>
          <w:kern w:val="0"/>
          <w14:ligatures w14:val="none"/>
        </w:rPr>
        <w:t xml:space="preserve"> nor did signing the email as you (I copied and pasted your questions into word and I must have missed that, apologies).</w:t>
      </w:r>
    </w:p>
    <w:p w14:paraId="5A9A135D" w14:textId="75ACD000" w:rsidR="00DB39A9" w:rsidRPr="00DB39A9" w:rsidRDefault="00DB39A9" w:rsidP="00DB39A9">
      <w:pPr>
        <w:outlineLvl w:val="2"/>
        <w:rPr>
          <w:rFonts w:ascii="Times New Roman" w:eastAsia="Times New Roman" w:hAnsi="Times New Roman" w:cs="Times New Roman"/>
          <w:b/>
          <w:bCs/>
          <w:kern w:val="0"/>
          <w:sz w:val="27"/>
          <w:szCs w:val="27"/>
          <w14:ligatures w14:val="none"/>
        </w:rPr>
      </w:pPr>
      <w:r w:rsidRPr="00DB39A9">
        <w:rPr>
          <w:rFonts w:ascii="Times New Roman" w:eastAsia="Times New Roman" w:hAnsi="Times New Roman" w:cs="Times New Roman"/>
          <w:b/>
          <w:bCs/>
          <w:kern w:val="0"/>
          <w:sz w:val="27"/>
          <w:szCs w:val="27"/>
          <w14:ligatures w14:val="none"/>
        </w:rPr>
        <w:t>NTAP Submission Form</w:t>
      </w:r>
    </w:p>
    <w:p w14:paraId="7DD27A80" w14:textId="41FB29A5"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At the link below is an example of a CMS-published NTAP summary application</w:t>
      </w:r>
      <w:r>
        <w:rPr>
          <w:rFonts w:ascii="Times New Roman" w:eastAsia="Times New Roman" w:hAnsi="Times New Roman" w:cs="Times New Roman"/>
          <w:kern w:val="0"/>
          <w14:ligatures w14:val="none"/>
        </w:rPr>
        <w:t>. I use the word “summary” as much of what is included within the entire application are appendices and addendums. However, the key information that is necessary is included in the example link:</w:t>
      </w:r>
    </w:p>
    <w:p w14:paraId="7081D0D3" w14:textId="08321F73"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https://mearis.cms.gov/public/publications/ntap/NTP240925MW5YD</w:t>
      </w:r>
    </w:p>
    <w:p w14:paraId="75BB0015" w14:textId="5B79678C"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The NTAP application is best understood as a regulatory and reimbursement dossier, similar in rigor, though not identical in purpose, to an FDA submission. It is submitted through MEARIS at the time of FDA approval and must demonstrate that the technology is not adequately described by existing ICD-10-PCS codes, meaning it cannot be captured within current coding frameworks.</w:t>
      </w:r>
    </w:p>
    <w:p w14:paraId="21FF199F" w14:textId="77777777"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CMS evaluates the application against three statutory criteria:</w:t>
      </w:r>
    </w:p>
    <w:p w14:paraId="5286A321" w14:textId="77777777" w:rsidR="00DB39A9" w:rsidRPr="00DB39A9" w:rsidRDefault="00DB39A9" w:rsidP="00DB39A9">
      <w:pPr>
        <w:numPr>
          <w:ilvl w:val="0"/>
          <w:numId w:val="22"/>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Newness, not substantially similar to existing technologies</w:t>
      </w:r>
    </w:p>
    <w:p w14:paraId="122D15F0" w14:textId="77777777" w:rsidR="00DB39A9" w:rsidRPr="00DB39A9" w:rsidRDefault="00DB39A9" w:rsidP="00DB39A9">
      <w:pPr>
        <w:numPr>
          <w:ilvl w:val="0"/>
          <w:numId w:val="22"/>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Cost inadequacy, where the MS-DRG payment does not cover the technology</w:t>
      </w:r>
    </w:p>
    <w:p w14:paraId="6E91C372" w14:textId="6F843B58" w:rsidR="00DB39A9" w:rsidRPr="00DB39A9" w:rsidRDefault="00DB39A9" w:rsidP="00DB39A9">
      <w:pPr>
        <w:numPr>
          <w:ilvl w:val="0"/>
          <w:numId w:val="22"/>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Substantial Clinical Improvement (SCI)</w:t>
      </w:r>
    </w:p>
    <w:p w14:paraId="6903CD72" w14:textId="77777777"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The structured portion of the application is typically 30 to 60 pages, but the majority of the submission consists of appendices and supporting documentation, including:</w:t>
      </w:r>
    </w:p>
    <w:p w14:paraId="51ED70F2" w14:textId="77777777" w:rsidR="00DB39A9" w:rsidRPr="00DB39A9" w:rsidRDefault="00DB39A9" w:rsidP="00DB39A9">
      <w:pPr>
        <w:numPr>
          <w:ilvl w:val="0"/>
          <w:numId w:val="23"/>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Full clinical study reports and publications</w:t>
      </w:r>
    </w:p>
    <w:p w14:paraId="1D12C849" w14:textId="77777777" w:rsidR="00DB39A9" w:rsidRPr="00DB39A9" w:rsidRDefault="00DB39A9" w:rsidP="00DB39A9">
      <w:pPr>
        <w:numPr>
          <w:ilvl w:val="0"/>
          <w:numId w:val="23"/>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Economic and cost-impact models</w:t>
      </w:r>
    </w:p>
    <w:p w14:paraId="749A6039" w14:textId="77777777" w:rsidR="00DB39A9" w:rsidRPr="00DB39A9" w:rsidRDefault="00DB39A9" w:rsidP="00DB39A9">
      <w:pPr>
        <w:numPr>
          <w:ilvl w:val="0"/>
          <w:numId w:val="23"/>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FDA approval materials and labeling</w:t>
      </w:r>
    </w:p>
    <w:p w14:paraId="499A2991" w14:textId="101D417B" w:rsidR="00DB39A9" w:rsidRPr="00DB39A9" w:rsidRDefault="00DB39A9" w:rsidP="00DB39A9">
      <w:pPr>
        <w:numPr>
          <w:ilvl w:val="0"/>
          <w:numId w:val="23"/>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Coding strategy and procedural differentiation</w:t>
      </w:r>
    </w:p>
    <w:p w14:paraId="4BE31883" w14:textId="4D65C1DB"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Total submission packages commonly reach 150 to 300 or more pages. CMS evaluates these less as narrative documents and more as technical evidentiary records supporting the statutory criteria.</w:t>
      </w:r>
    </w:p>
    <w:p w14:paraId="6C014DD9" w14:textId="2756CD22"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The attachment provides a more detailed breakdown of the submission structure, MEARIS workflow, and how cost inadequacy is demonstrated in practice.</w:t>
      </w:r>
    </w:p>
    <w:p w14:paraId="71D51535" w14:textId="480846B3" w:rsidR="00DB39A9" w:rsidRPr="00DB39A9" w:rsidRDefault="00DB39A9" w:rsidP="00DB39A9">
      <w:pPr>
        <w:outlineLvl w:val="2"/>
        <w:rPr>
          <w:rFonts w:ascii="Times New Roman" w:eastAsia="Times New Roman" w:hAnsi="Times New Roman" w:cs="Times New Roman"/>
          <w:b/>
          <w:bCs/>
          <w:kern w:val="0"/>
          <w:sz w:val="27"/>
          <w:szCs w:val="27"/>
          <w14:ligatures w14:val="none"/>
        </w:rPr>
      </w:pPr>
      <w:r w:rsidRPr="00DB39A9">
        <w:rPr>
          <w:rFonts w:ascii="Times New Roman" w:eastAsia="Times New Roman" w:hAnsi="Times New Roman" w:cs="Times New Roman"/>
          <w:b/>
          <w:bCs/>
          <w:kern w:val="0"/>
          <w:sz w:val="27"/>
          <w:szCs w:val="27"/>
          <w14:ligatures w14:val="none"/>
        </w:rPr>
        <w:t>Coding Clarification (ICD-10-PCS vs. X-modifiers / J-codes)</w:t>
      </w:r>
    </w:p>
    <w:p w14:paraId="669F6315" w14:textId="2216A395"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 xml:space="preserve">To clarify terminology, the “X-codes” </w:t>
      </w:r>
      <w:r>
        <w:rPr>
          <w:rFonts w:ascii="Times New Roman" w:eastAsia="Times New Roman" w:hAnsi="Times New Roman" w:cs="Times New Roman"/>
          <w:kern w:val="0"/>
          <w14:ligatures w14:val="none"/>
        </w:rPr>
        <w:t xml:space="preserve">I had </w:t>
      </w:r>
      <w:r w:rsidRPr="00DB39A9">
        <w:rPr>
          <w:rFonts w:ascii="Times New Roman" w:eastAsia="Times New Roman" w:hAnsi="Times New Roman" w:cs="Times New Roman"/>
          <w:kern w:val="0"/>
          <w14:ligatures w14:val="none"/>
        </w:rPr>
        <w:t>referenced are ICD-10-PCS Section X (New Technology codes). These are inpatient procedure codes used to identify new technologies that are not yet incorporated into DRG payment.</w:t>
      </w:r>
      <w:r>
        <w:rPr>
          <w:rFonts w:ascii="Times New Roman" w:eastAsia="Times New Roman" w:hAnsi="Times New Roman" w:cs="Times New Roman"/>
          <w:kern w:val="0"/>
          <w14:ligatures w14:val="none"/>
        </w:rPr>
        <w:t xml:space="preserve"> </w:t>
      </w:r>
    </w:p>
    <w:p w14:paraId="0BA90FDF" w14:textId="37B48DF3"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For example</w:t>
      </w:r>
      <w:r w:rsidR="008B7D4E">
        <w:rPr>
          <w:rFonts w:ascii="Times New Roman" w:eastAsia="Times New Roman" w:hAnsi="Times New Roman" w:cs="Times New Roman"/>
          <w:kern w:val="0"/>
          <w14:ligatures w14:val="none"/>
        </w:rPr>
        <w:t>, from above</w:t>
      </w:r>
      <w:r w:rsidRPr="00DB39A9">
        <w:rPr>
          <w:rFonts w:ascii="Times New Roman" w:eastAsia="Times New Roman" w:hAnsi="Times New Roman" w:cs="Times New Roman"/>
          <w:kern w:val="0"/>
          <w14:ligatures w14:val="none"/>
        </w:rPr>
        <w:t>:</w:t>
      </w:r>
    </w:p>
    <w:p w14:paraId="7E3AE206" w14:textId="52C17D28" w:rsidR="00DB39A9" w:rsidRPr="00DB39A9" w:rsidRDefault="00DB39A9" w:rsidP="00DB39A9">
      <w:pPr>
        <w:numPr>
          <w:ilvl w:val="0"/>
          <w:numId w:val="24"/>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 xml:space="preserve">XW033CA (Introduction of </w:t>
      </w:r>
      <w:proofErr w:type="spellStart"/>
      <w:r w:rsidRPr="00DB39A9">
        <w:rPr>
          <w:rFonts w:ascii="Times New Roman" w:eastAsia="Times New Roman" w:hAnsi="Times New Roman" w:cs="Times New Roman"/>
          <w:kern w:val="0"/>
          <w14:ligatures w14:val="none"/>
        </w:rPr>
        <w:t>zanidatamab</w:t>
      </w:r>
      <w:proofErr w:type="spellEnd"/>
      <w:r w:rsidRPr="00DB39A9">
        <w:rPr>
          <w:rFonts w:ascii="Times New Roman" w:eastAsia="Times New Roman" w:hAnsi="Times New Roman" w:cs="Times New Roman"/>
          <w:kern w:val="0"/>
          <w14:ligatures w14:val="none"/>
        </w:rPr>
        <w:t xml:space="preserve"> antineoplastic into peripheral vein, percutaneous approach, new technology group 10)</w:t>
      </w:r>
    </w:p>
    <w:p w14:paraId="33FE00AF" w14:textId="77777777"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These codes are used to:</w:t>
      </w:r>
    </w:p>
    <w:p w14:paraId="326D00D5" w14:textId="77777777" w:rsidR="00DB39A9" w:rsidRPr="00DB39A9" w:rsidRDefault="00DB39A9" w:rsidP="00DB39A9">
      <w:pPr>
        <w:numPr>
          <w:ilvl w:val="0"/>
          <w:numId w:val="25"/>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Enable claims-level identification of new technologies within DRGs</w:t>
      </w:r>
    </w:p>
    <w:p w14:paraId="1AC5BB41" w14:textId="77777777" w:rsidR="00DB39A9" w:rsidRPr="00DB39A9" w:rsidRDefault="00DB39A9" w:rsidP="00DB39A9">
      <w:pPr>
        <w:numPr>
          <w:ilvl w:val="0"/>
          <w:numId w:val="25"/>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Support CMS tracking of utilization, cost, and outcomes</w:t>
      </w:r>
    </w:p>
    <w:p w14:paraId="4FE9BA62" w14:textId="01C3DF7C" w:rsidR="00DB39A9" w:rsidRDefault="00DB39A9" w:rsidP="00DB39A9">
      <w:pPr>
        <w:numPr>
          <w:ilvl w:val="0"/>
          <w:numId w:val="25"/>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Provide the evidentiary basis for NTAP and future DRG recalibration</w:t>
      </w:r>
    </w:p>
    <w:p w14:paraId="68396C84" w14:textId="77777777" w:rsidR="008B7D4E" w:rsidRDefault="00DB39A9" w:rsidP="008B7D4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we discussed, these are what make a new biologic treatment “visible” to payors, hospital administrators and CMS. </w:t>
      </w:r>
      <w:r w:rsidR="008B7D4E">
        <w:rPr>
          <w:rFonts w:ascii="Times New Roman" w:eastAsia="Times New Roman" w:hAnsi="Times New Roman" w:cs="Times New Roman"/>
          <w:kern w:val="0"/>
          <w14:ligatures w14:val="none"/>
        </w:rPr>
        <w:t xml:space="preserve">Without an “X” code, Product X would likely be described as (and at initial launch) </w:t>
      </w:r>
      <w:r w:rsidR="008B7D4E" w:rsidRPr="008B7D4E">
        <w:rPr>
          <w:rFonts w:ascii="Times New Roman" w:eastAsia="Times New Roman" w:hAnsi="Times New Roman" w:cs="Times New Roman"/>
          <w:kern w:val="0"/>
          <w14:ligatures w14:val="none"/>
        </w:rPr>
        <w:t>a generic “other therapeutic substance”</w:t>
      </w:r>
      <w:r w:rsidR="008B7D4E">
        <w:rPr>
          <w:rFonts w:ascii="Times New Roman" w:eastAsia="Times New Roman" w:hAnsi="Times New Roman" w:cs="Times New Roman"/>
          <w:kern w:val="0"/>
          <w14:ligatures w14:val="none"/>
        </w:rPr>
        <w:t>:</w:t>
      </w:r>
    </w:p>
    <w:p w14:paraId="1E75080D" w14:textId="77777777" w:rsidR="008B7D4E" w:rsidRDefault="008B7D4E" w:rsidP="008B7D4E">
      <w:pPr>
        <w:pStyle w:val="ListParagraph"/>
        <w:numPr>
          <w:ilvl w:val="0"/>
          <w:numId w:val="35"/>
        </w:numPr>
        <w:rPr>
          <w:rFonts w:ascii="Times New Roman" w:eastAsia="Times New Roman" w:hAnsi="Times New Roman" w:cs="Times New Roman"/>
          <w:kern w:val="0"/>
          <w14:ligatures w14:val="none"/>
        </w:rPr>
      </w:pPr>
      <w:r w:rsidRPr="008B7D4E">
        <w:rPr>
          <w:rFonts w:ascii="Times New Roman" w:eastAsia="Times New Roman" w:hAnsi="Times New Roman" w:cs="Times New Roman"/>
          <w:kern w:val="0"/>
          <w14:ligatures w14:val="none"/>
        </w:rPr>
        <w:t>Example: 3E033GC</w:t>
      </w:r>
    </w:p>
    <w:p w14:paraId="6A7590CD" w14:textId="508E925E" w:rsidR="008B7D4E" w:rsidRPr="008B7D4E" w:rsidRDefault="008B7D4E" w:rsidP="008B7D4E">
      <w:pPr>
        <w:pStyle w:val="ListParagraph"/>
        <w:numPr>
          <w:ilvl w:val="0"/>
          <w:numId w:val="35"/>
        </w:numPr>
        <w:rPr>
          <w:rFonts w:ascii="Times New Roman" w:eastAsia="Times New Roman" w:hAnsi="Times New Roman" w:cs="Times New Roman"/>
          <w:kern w:val="0"/>
          <w14:ligatures w14:val="none"/>
        </w:rPr>
      </w:pPr>
      <w:r w:rsidRPr="008B7D4E">
        <w:rPr>
          <w:rFonts w:ascii="Times New Roman" w:eastAsia="Times New Roman" w:hAnsi="Times New Roman" w:cs="Times New Roman"/>
          <w:kern w:val="0"/>
          <w14:ligatures w14:val="none"/>
        </w:rPr>
        <w:t>Description: Introduction of other therapeutic substance into peripheral vein, percutaneous approach</w:t>
      </w:r>
    </w:p>
    <w:p w14:paraId="54A02ABA" w14:textId="7EF70F19" w:rsidR="00DB39A9" w:rsidRPr="00DB39A9" w:rsidRDefault="008B7D4E" w:rsidP="008B7D4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3E code is already accounted for in the DRG. Without an “X” code, a hospital would be significantly underwater by utilizing Product X and there would be no way for its utilization to be visible outside of a given encounter. Coding requests and assignments align with the NTAP submission timeline in the attached</w:t>
      </w:r>
      <w:r w:rsidR="000F532D">
        <w:rPr>
          <w:rFonts w:ascii="Times New Roman" w:eastAsia="Times New Roman" w:hAnsi="Times New Roman" w:cs="Times New Roman"/>
          <w:kern w:val="0"/>
          <w14:ligatures w14:val="none"/>
        </w:rPr>
        <w:t xml:space="preserve"> (fall submission, winter discussion, FDA spring approval or “Authorized By” date in order to receive the code and NTAP for that year, proposed and final rulemaking with the decision being in the final IPPS rule (August) and effective October 1. </w:t>
      </w:r>
    </w:p>
    <w:p w14:paraId="1F93F558" w14:textId="7FDC118A" w:rsidR="00DB39A9" w:rsidRPr="00DB39A9" w:rsidRDefault="00DB39A9" w:rsidP="000F532D">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J-codes</w:t>
      </w:r>
      <w:r w:rsidR="000F532D">
        <w:rPr>
          <w:rFonts w:ascii="Times New Roman" w:eastAsia="Times New Roman" w:hAnsi="Times New Roman" w:cs="Times New Roman"/>
          <w:kern w:val="0"/>
          <w14:ligatures w14:val="none"/>
        </w:rPr>
        <w:t xml:space="preserve">, and more broadly HCPCS codes that describe physician time for example, </w:t>
      </w:r>
      <w:r w:rsidRPr="00DB39A9">
        <w:rPr>
          <w:rFonts w:ascii="Times New Roman" w:eastAsia="Times New Roman" w:hAnsi="Times New Roman" w:cs="Times New Roman"/>
          <w:kern w:val="0"/>
          <w14:ligatures w14:val="none"/>
        </w:rPr>
        <w:t>apply to Part B drugs</w:t>
      </w:r>
      <w:r w:rsidR="000F532D">
        <w:rPr>
          <w:rFonts w:ascii="Times New Roman" w:eastAsia="Times New Roman" w:hAnsi="Times New Roman" w:cs="Times New Roman"/>
          <w:kern w:val="0"/>
          <w14:ligatures w14:val="none"/>
        </w:rPr>
        <w:t xml:space="preserve"> and services. There are instances where a given drug will have a J-Code and separate X-Code, but generally that is rare. </w:t>
      </w:r>
    </w:p>
    <w:p w14:paraId="28E0CC3B" w14:textId="77777777"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In practical terms:</w:t>
      </w:r>
    </w:p>
    <w:p w14:paraId="5307A988" w14:textId="505C2F6D" w:rsidR="00DB39A9" w:rsidRPr="00DB39A9" w:rsidRDefault="00DB39A9" w:rsidP="00DB39A9">
      <w:pPr>
        <w:numPr>
          <w:ilvl w:val="0"/>
          <w:numId w:val="27"/>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ICD-10-CM defines the condition</w:t>
      </w:r>
      <w:r w:rsidR="000F532D">
        <w:rPr>
          <w:rFonts w:ascii="Times New Roman" w:eastAsia="Times New Roman" w:hAnsi="Times New Roman" w:cs="Times New Roman"/>
          <w:kern w:val="0"/>
          <w14:ligatures w14:val="none"/>
        </w:rPr>
        <w:t xml:space="preserve"> (e.g., ischemic stroke)</w:t>
      </w:r>
    </w:p>
    <w:p w14:paraId="67FFA5CA" w14:textId="2152F823" w:rsidR="00DB39A9" w:rsidRPr="00DB39A9" w:rsidRDefault="00DB39A9" w:rsidP="00DB39A9">
      <w:pPr>
        <w:numPr>
          <w:ilvl w:val="0"/>
          <w:numId w:val="27"/>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ICD-10-PCS defines the intervention</w:t>
      </w:r>
      <w:r w:rsidR="000F532D">
        <w:rPr>
          <w:rFonts w:ascii="Times New Roman" w:eastAsia="Times New Roman" w:hAnsi="Times New Roman" w:cs="Times New Roman"/>
          <w:kern w:val="0"/>
          <w14:ligatures w14:val="none"/>
        </w:rPr>
        <w:t xml:space="preserve"> (e.g., EVT with Product X)</w:t>
      </w:r>
    </w:p>
    <w:p w14:paraId="55E07F96" w14:textId="77777777" w:rsidR="000F532D" w:rsidRDefault="00DB39A9" w:rsidP="000F532D">
      <w:pPr>
        <w:numPr>
          <w:ilvl w:val="0"/>
          <w:numId w:val="27"/>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Together, they determine MS-DRG assignment</w:t>
      </w:r>
    </w:p>
    <w:p w14:paraId="0EB769D5" w14:textId="51558DFF"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b/>
          <w:bCs/>
          <w:kern w:val="0"/>
          <w:sz w:val="27"/>
          <w:szCs w:val="27"/>
          <w14:ligatures w14:val="none"/>
        </w:rPr>
        <w:t>NTAP Pathway and Timing</w:t>
      </w:r>
    </w:p>
    <w:p w14:paraId="2D63BFE3" w14:textId="77777777"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The attachment outlines the full NTAP timeline. At a high level:</w:t>
      </w:r>
    </w:p>
    <w:p w14:paraId="66C52115" w14:textId="77777777" w:rsidR="00DB39A9" w:rsidRPr="00DB39A9" w:rsidRDefault="00DB39A9" w:rsidP="00DB39A9">
      <w:pPr>
        <w:numPr>
          <w:ilvl w:val="0"/>
          <w:numId w:val="28"/>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Application submission occurs in the fall</w:t>
      </w:r>
    </w:p>
    <w:p w14:paraId="3393169E" w14:textId="77777777" w:rsidR="00DB39A9" w:rsidRPr="00DB39A9" w:rsidRDefault="00DB39A9" w:rsidP="00DB39A9">
      <w:pPr>
        <w:numPr>
          <w:ilvl w:val="0"/>
          <w:numId w:val="28"/>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CMS issues proposed and final rules in the following year</w:t>
      </w:r>
    </w:p>
    <w:p w14:paraId="6427BAEF" w14:textId="0194B1DB" w:rsidR="00DB39A9" w:rsidRPr="00DB39A9" w:rsidRDefault="00DB39A9" w:rsidP="00DB39A9">
      <w:pPr>
        <w:numPr>
          <w:ilvl w:val="0"/>
          <w:numId w:val="28"/>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Payment becomes effective October 1</w:t>
      </w:r>
    </w:p>
    <w:p w14:paraId="732E5071" w14:textId="62E6EB69" w:rsidR="00DB39A9" w:rsidRPr="00DB39A9" w:rsidRDefault="00DB39A9" w:rsidP="000F532D">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Between launch and NTAP activation, hospitals operate in a budget-exposure period where incremental costs are absorbed within fixed DRG reimbursement. This typically leads to selective early adoption until payment alignment improves.</w:t>
      </w:r>
      <w:r w:rsidR="000F532D">
        <w:rPr>
          <w:rFonts w:ascii="Times New Roman" w:eastAsia="Times New Roman" w:hAnsi="Times New Roman" w:cs="Times New Roman"/>
          <w:kern w:val="0"/>
          <w14:ligatures w14:val="none"/>
        </w:rPr>
        <w:t xml:space="preserve"> However, if properly aligned the period can be as short as 2 months. Doing so allows for Product X to utilize NTAP for the full 3 years.</w:t>
      </w:r>
    </w:p>
    <w:p w14:paraId="37F125F2" w14:textId="4FE20983" w:rsidR="00DB39A9" w:rsidRPr="00DB39A9" w:rsidRDefault="00DB39A9" w:rsidP="000F532D">
      <w:pPr>
        <w:outlineLvl w:val="2"/>
        <w:rPr>
          <w:rFonts w:ascii="Times New Roman" w:eastAsia="Times New Roman" w:hAnsi="Times New Roman" w:cs="Times New Roman"/>
          <w:b/>
          <w:bCs/>
          <w:kern w:val="0"/>
          <w:sz w:val="27"/>
          <w:szCs w:val="27"/>
          <w14:ligatures w14:val="none"/>
        </w:rPr>
      </w:pPr>
      <w:r w:rsidRPr="00DB39A9">
        <w:rPr>
          <w:rFonts w:ascii="Times New Roman" w:eastAsia="Times New Roman" w:hAnsi="Times New Roman" w:cs="Times New Roman"/>
          <w:b/>
          <w:bCs/>
          <w:kern w:val="0"/>
          <w:sz w:val="27"/>
          <w:szCs w:val="27"/>
          <w14:ligatures w14:val="none"/>
        </w:rPr>
        <w:t>DRG Framework and EVT Context</w:t>
      </w:r>
    </w:p>
    <w:p w14:paraId="55247D3A" w14:textId="2D93D5C9"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I have included a structured analysis of relevant DRG comparators, including MS-DRGs 023/024 and 061–063, along with directional relative weight trends from FY2020 through FY2026.</w:t>
      </w:r>
    </w:p>
    <w:p w14:paraId="3073EE92" w14:textId="5274396E" w:rsidR="00DB39A9" w:rsidRPr="00DB39A9" w:rsidRDefault="00DB39A9" w:rsidP="000F532D">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The key point is that DRG weights provide directional context for payment adequacy, but they do not independently determine grouping. Final assignment remains dependent on ICD-10-CM and ICD-10-PCS coding logic and grouper output.</w:t>
      </w:r>
      <w:r w:rsidR="000F532D">
        <w:rPr>
          <w:rFonts w:ascii="Times New Roman" w:eastAsia="Times New Roman" w:hAnsi="Times New Roman" w:cs="Times New Roman"/>
          <w:kern w:val="0"/>
          <w14:ligatures w14:val="none"/>
        </w:rPr>
        <w:t xml:space="preserve"> This makes more sense when you review the above example. There are a number of different CM codes that describe ischemic stroke and in the application a manufacturer must “map” to each one they believe would apply.</w:t>
      </w:r>
    </w:p>
    <w:p w14:paraId="4E52A561" w14:textId="4FCC17E9" w:rsidR="00DB39A9" w:rsidRPr="00DB39A9" w:rsidRDefault="00DB39A9" w:rsidP="000F532D">
      <w:pPr>
        <w:outlineLvl w:val="2"/>
        <w:rPr>
          <w:rFonts w:ascii="Times New Roman" w:eastAsia="Times New Roman" w:hAnsi="Times New Roman" w:cs="Times New Roman"/>
          <w:b/>
          <w:bCs/>
          <w:kern w:val="0"/>
          <w:sz w:val="27"/>
          <w:szCs w:val="27"/>
          <w14:ligatures w14:val="none"/>
        </w:rPr>
      </w:pPr>
      <w:r w:rsidRPr="00DB39A9">
        <w:rPr>
          <w:rFonts w:ascii="Times New Roman" w:eastAsia="Times New Roman" w:hAnsi="Times New Roman" w:cs="Times New Roman"/>
          <w:b/>
          <w:bCs/>
          <w:kern w:val="0"/>
          <w:sz w:val="27"/>
          <w:szCs w:val="27"/>
          <w14:ligatures w14:val="none"/>
        </w:rPr>
        <w:t>Hospital Economics and Payer Perspective</w:t>
      </w:r>
    </w:p>
    <w:p w14:paraId="539F67B5" w14:textId="77777777"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The attachment separates hospital adoption economics from payer full-episode economics:</w:t>
      </w:r>
    </w:p>
    <w:p w14:paraId="255A730E" w14:textId="77777777" w:rsidR="00DB39A9" w:rsidRPr="00DB39A9" w:rsidRDefault="00DB39A9" w:rsidP="00DB39A9">
      <w:pPr>
        <w:numPr>
          <w:ilvl w:val="0"/>
          <w:numId w:val="29"/>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From the hospital perspective, adoption is driven by DRG margin, with NTAP partially offsetting incremental cost exposure</w:t>
      </w:r>
    </w:p>
    <w:p w14:paraId="19FCB3EF" w14:textId="1317C3B3" w:rsidR="00DB39A9" w:rsidRPr="00DB39A9" w:rsidRDefault="00DB39A9" w:rsidP="00DB39A9">
      <w:pPr>
        <w:numPr>
          <w:ilvl w:val="0"/>
          <w:numId w:val="29"/>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From the pay</w:t>
      </w:r>
      <w:r w:rsidR="000F532D">
        <w:rPr>
          <w:rFonts w:ascii="Times New Roman" w:eastAsia="Times New Roman" w:hAnsi="Times New Roman" w:cs="Times New Roman"/>
          <w:kern w:val="0"/>
          <w14:ligatures w14:val="none"/>
        </w:rPr>
        <w:t>o</w:t>
      </w:r>
      <w:r w:rsidRPr="00DB39A9">
        <w:rPr>
          <w:rFonts w:ascii="Times New Roman" w:eastAsia="Times New Roman" w:hAnsi="Times New Roman" w:cs="Times New Roman"/>
          <w:kern w:val="0"/>
          <w14:ligatures w14:val="none"/>
        </w:rPr>
        <w:t>r perspective, the analysis considers total episode-of-care costs, including post-acute care and downstream utilization</w:t>
      </w:r>
    </w:p>
    <w:p w14:paraId="1BDBF503" w14:textId="3C953090" w:rsidR="00DB39A9" w:rsidRDefault="000F532D" w:rsidP="00DB39A9">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discussed this more on the call, but there is a fine line where Product X would want to be priced at a cost that exceeds the current DRG </w:t>
      </w:r>
      <w:r w:rsidR="00526FF3">
        <w:rPr>
          <w:rFonts w:ascii="Times New Roman" w:eastAsia="Times New Roman" w:hAnsi="Times New Roman" w:cs="Times New Roman"/>
          <w:kern w:val="0"/>
          <w14:ligatures w14:val="none"/>
        </w:rPr>
        <w:t>but it improves clinical outcomes so well that downstream costs are effectively eliminated (e.g., long-term care). To that end, a hospital would initially not be as a</w:t>
      </w:r>
      <w:r w:rsidR="00F73DB8">
        <w:rPr>
          <w:rFonts w:ascii="Times New Roman" w:eastAsia="Times New Roman" w:hAnsi="Times New Roman" w:cs="Times New Roman"/>
          <w:kern w:val="0"/>
          <w14:ligatures w14:val="none"/>
        </w:rPr>
        <w:t>ve</w:t>
      </w:r>
      <w:r w:rsidR="00526FF3">
        <w:rPr>
          <w:rFonts w:ascii="Times New Roman" w:eastAsia="Times New Roman" w:hAnsi="Times New Roman" w:cs="Times New Roman"/>
          <w:kern w:val="0"/>
          <w14:ligatures w14:val="none"/>
        </w:rPr>
        <w:t>rse to adoption in the initial launch period. With NTAP, that friction lessens, and again there are multiple mechanisms by which a hospital can be made whole (e.g., bonus payments from payors for improved outcomes anchored in value-based/outcomes-based agreements).</w:t>
      </w:r>
    </w:p>
    <w:p w14:paraId="5F04B612" w14:textId="77777777" w:rsidR="00526FF3" w:rsidRDefault="00526FF3" w:rsidP="00DB39A9">
      <w:pPr>
        <w:spacing w:before="0" w:beforeAutospacing="0" w:after="0" w:afterAutospacing="0"/>
        <w:rPr>
          <w:rFonts w:ascii="Times New Roman" w:eastAsia="Times New Roman" w:hAnsi="Times New Roman" w:cs="Times New Roman"/>
          <w:kern w:val="0"/>
          <w14:ligatures w14:val="none"/>
        </w:rPr>
      </w:pPr>
    </w:p>
    <w:p w14:paraId="1E82F270" w14:textId="139F6835" w:rsidR="00526FF3" w:rsidRPr="00DB39A9" w:rsidRDefault="00526FF3" w:rsidP="00DB39A9">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payor however sees the entire course of care. If there is a sharp reduction or elimination of long-term care with the utilization of Product X, despite it not being of any relevance to the hospital or a DRG, they will view this very favorably.</w:t>
      </w:r>
    </w:p>
    <w:p w14:paraId="70FF38E6" w14:textId="656D77F8" w:rsidR="00DB39A9" w:rsidRPr="00DB39A9" w:rsidRDefault="00DB39A9" w:rsidP="00526FF3">
      <w:pPr>
        <w:outlineLvl w:val="2"/>
        <w:rPr>
          <w:rFonts w:ascii="Times New Roman" w:eastAsia="Times New Roman" w:hAnsi="Times New Roman" w:cs="Times New Roman"/>
          <w:b/>
          <w:bCs/>
          <w:kern w:val="0"/>
          <w:sz w:val="27"/>
          <w:szCs w:val="27"/>
          <w14:ligatures w14:val="none"/>
        </w:rPr>
      </w:pPr>
      <w:bookmarkStart w:id="1" w:name="_Hlk226116201"/>
      <w:r w:rsidRPr="00DB39A9">
        <w:rPr>
          <w:rFonts w:ascii="Times New Roman" w:eastAsia="Times New Roman" w:hAnsi="Times New Roman" w:cs="Times New Roman"/>
          <w:b/>
          <w:bCs/>
          <w:kern w:val="0"/>
          <w:sz w:val="27"/>
          <w:szCs w:val="27"/>
          <w14:ligatures w14:val="none"/>
        </w:rPr>
        <w:t>EVT Volume Trends and DRG Implications</w:t>
      </w:r>
    </w:p>
    <w:bookmarkEnd w:id="1"/>
    <w:p w14:paraId="3AF71333" w14:textId="73A51487" w:rsidR="00526FF3" w:rsidRDefault="00526FF3" w:rsidP="00526FF3">
      <w:pPr>
        <w:pStyle w:val="p1"/>
      </w:pPr>
      <w:r>
        <w:t xml:space="preserve">The recent </w:t>
      </w:r>
      <w:r>
        <w:t>“</w:t>
      </w:r>
      <w:r>
        <w:t>plateauing</w:t>
      </w:r>
      <w:r>
        <w:t>”</w:t>
      </w:r>
      <w:r>
        <w:t xml:space="preserve"> of EVT volumes </w:t>
      </w:r>
      <w:r>
        <w:t xml:space="preserve">most simply can be described as market stabilization. In 2018, approval was given for the procedure to be done 14 to 24 hours after a </w:t>
      </w:r>
      <w:r w:rsidR="007F60E7">
        <w:t>patients’</w:t>
      </w:r>
      <w:r>
        <w:t xml:space="preserve"> last “known well” status. </w:t>
      </w:r>
      <w:r w:rsidR="007F60E7">
        <w:t xml:space="preserve">This increased the volume of patients eligible for a procedure that had been around since the early 2000’s. Essentially, hospitals and staff streamlined and optimized workflows, physicians experience made the procedure routine, and over time the overall cost for the entire encounter has dipped (e.g., less ICU/hospital stay time). </w:t>
      </w:r>
    </w:p>
    <w:p w14:paraId="5D550E64" w14:textId="67BF13B5"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 xml:space="preserve">CMS does not update DRGs based on real-time volume changes. Updates occur annually using historical claims data, typically with a </w:t>
      </w:r>
      <w:r w:rsidR="00F73DB8" w:rsidRPr="00DB39A9">
        <w:rPr>
          <w:rFonts w:ascii="Times New Roman" w:eastAsia="Times New Roman" w:hAnsi="Times New Roman" w:cs="Times New Roman"/>
          <w:kern w:val="0"/>
          <w14:ligatures w14:val="none"/>
        </w:rPr>
        <w:t>2-to-3-year</w:t>
      </w:r>
      <w:r w:rsidRPr="00DB39A9">
        <w:rPr>
          <w:rFonts w:ascii="Times New Roman" w:eastAsia="Times New Roman" w:hAnsi="Times New Roman" w:cs="Times New Roman"/>
          <w:kern w:val="0"/>
          <w14:ligatures w14:val="none"/>
        </w:rPr>
        <w:t xml:space="preserve"> lag.</w:t>
      </w:r>
      <w:r w:rsidR="00F73DB8">
        <w:rPr>
          <w:rFonts w:ascii="Times New Roman" w:eastAsia="Times New Roman" w:hAnsi="Times New Roman" w:cs="Times New Roman"/>
          <w:kern w:val="0"/>
          <w14:ligatures w14:val="none"/>
        </w:rPr>
        <w:t xml:space="preserve"> </w:t>
      </w:r>
      <w:r w:rsidRPr="00DB39A9">
        <w:rPr>
          <w:rFonts w:ascii="Times New Roman" w:eastAsia="Times New Roman" w:hAnsi="Times New Roman" w:cs="Times New Roman"/>
          <w:kern w:val="0"/>
          <w14:ligatures w14:val="none"/>
        </w:rPr>
        <w:t>DRG weights are driven by average cost per case, not volume directly, though volume influences case mix and therefore cost.</w:t>
      </w:r>
    </w:p>
    <w:p w14:paraId="2315F72F" w14:textId="06BDFC30"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 xml:space="preserve">Since approximately 2020, EVT-related DRGs have followed a </w:t>
      </w:r>
      <w:r w:rsidR="007F60E7">
        <w:rPr>
          <w:rFonts w:ascii="Times New Roman" w:eastAsia="Times New Roman" w:hAnsi="Times New Roman" w:cs="Times New Roman"/>
          <w:kern w:val="0"/>
          <w14:ligatures w14:val="none"/>
        </w:rPr>
        <w:t>two-ph</w:t>
      </w:r>
      <w:r w:rsidR="00F73DB8">
        <w:rPr>
          <w:rFonts w:ascii="Times New Roman" w:eastAsia="Times New Roman" w:hAnsi="Times New Roman" w:cs="Times New Roman"/>
          <w:kern w:val="0"/>
          <w14:ligatures w14:val="none"/>
        </w:rPr>
        <w:t>a</w:t>
      </w:r>
      <w:r w:rsidR="007F60E7">
        <w:rPr>
          <w:rFonts w:ascii="Times New Roman" w:eastAsia="Times New Roman" w:hAnsi="Times New Roman" w:cs="Times New Roman"/>
          <w:kern w:val="0"/>
          <w14:ligatures w14:val="none"/>
        </w:rPr>
        <w:t>se</w:t>
      </w:r>
      <w:r w:rsidRPr="00DB39A9">
        <w:rPr>
          <w:rFonts w:ascii="Times New Roman" w:eastAsia="Times New Roman" w:hAnsi="Times New Roman" w:cs="Times New Roman"/>
          <w:kern w:val="0"/>
          <w14:ligatures w14:val="none"/>
        </w:rPr>
        <w:t xml:space="preserve"> pattern:</w:t>
      </w:r>
    </w:p>
    <w:p w14:paraId="1CB88C49" w14:textId="5598425F" w:rsidR="00DB39A9" w:rsidRPr="00DB39A9" w:rsidRDefault="00DB39A9" w:rsidP="00DB39A9">
      <w:pPr>
        <w:numPr>
          <w:ilvl w:val="0"/>
          <w:numId w:val="31"/>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Expansion (2020–2022), higher acuity and upward pressure on weights</w:t>
      </w:r>
      <w:r w:rsidR="007F60E7">
        <w:rPr>
          <w:rFonts w:ascii="Times New Roman" w:eastAsia="Times New Roman" w:hAnsi="Times New Roman" w:cs="Times New Roman"/>
          <w:kern w:val="0"/>
          <w14:ligatures w14:val="none"/>
        </w:rPr>
        <w:t xml:space="preserve"> due to availability to larger patient pool</w:t>
      </w:r>
    </w:p>
    <w:p w14:paraId="365F7E3F" w14:textId="27C9A569" w:rsidR="00DB39A9" w:rsidRPr="00DB39A9" w:rsidRDefault="00DB39A9" w:rsidP="00DB39A9">
      <w:pPr>
        <w:numPr>
          <w:ilvl w:val="0"/>
          <w:numId w:val="31"/>
        </w:num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Normalization (2023–2025), improved efficiency and stabilization or modest compression</w:t>
      </w:r>
    </w:p>
    <w:p w14:paraId="146A6DE9" w14:textId="40188E35" w:rsidR="00DB39A9" w:rsidRP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b/>
          <w:bCs/>
          <w:kern w:val="0"/>
          <w:sz w:val="27"/>
          <w:szCs w:val="27"/>
          <w14:ligatures w14:val="none"/>
        </w:rPr>
        <w:t>Implications for Product X</w:t>
      </w:r>
    </w:p>
    <w:p w14:paraId="1961D511" w14:textId="620EB52C" w:rsidR="00DB39A9" w:rsidRPr="00DB39A9" w:rsidRDefault="007F60E7" w:rsidP="00F73DB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want to pause and call out that this discussion thus far has focused only on DRG’s and the hospital setting. In the attached, I tried to break out the entire continuum of cost that falls outside of IPPS in which Product X would impact. This does create a friction in the near term depending on the overall cost of the drug itself and its benefit</w:t>
      </w:r>
      <w:r w:rsidR="00F73DB8">
        <w:rPr>
          <w:rFonts w:ascii="Times New Roman" w:eastAsia="Times New Roman" w:hAnsi="Times New Roman" w:cs="Times New Roman"/>
          <w:kern w:val="0"/>
          <w14:ligatures w14:val="none"/>
        </w:rPr>
        <w:t xml:space="preserve"> as it is </w:t>
      </w:r>
      <w:r w:rsidR="00DB39A9" w:rsidRPr="00DB39A9">
        <w:rPr>
          <w:rFonts w:ascii="Times New Roman" w:eastAsia="Times New Roman" w:hAnsi="Times New Roman" w:cs="Times New Roman"/>
          <w:kern w:val="0"/>
          <w14:ligatures w14:val="none"/>
        </w:rPr>
        <w:t>expected to reduce length of stay by approximately 3 to 5 days and improve discharge outcomes</w:t>
      </w:r>
      <w:r w:rsidR="00F73DB8">
        <w:rPr>
          <w:rFonts w:ascii="Times New Roman" w:eastAsia="Times New Roman" w:hAnsi="Times New Roman" w:cs="Times New Roman"/>
          <w:kern w:val="0"/>
          <w14:ligatures w14:val="none"/>
        </w:rPr>
        <w:t xml:space="preserve">. </w:t>
      </w:r>
      <w:r w:rsidR="00DB39A9" w:rsidRPr="00DB39A9">
        <w:rPr>
          <w:rFonts w:ascii="Times New Roman" w:eastAsia="Times New Roman" w:hAnsi="Times New Roman" w:cs="Times New Roman"/>
          <w:kern w:val="0"/>
          <w14:ligatures w14:val="none"/>
        </w:rPr>
        <w:t>These improvements reduce downstream costs</w:t>
      </w:r>
      <w:r w:rsidR="00F73DB8">
        <w:rPr>
          <w:rFonts w:ascii="Times New Roman" w:eastAsia="Times New Roman" w:hAnsi="Times New Roman" w:cs="Times New Roman"/>
          <w:kern w:val="0"/>
          <w14:ligatures w14:val="none"/>
        </w:rPr>
        <w:t xml:space="preserve"> but </w:t>
      </w:r>
      <w:r w:rsidR="00DB39A9" w:rsidRPr="00DB39A9">
        <w:rPr>
          <w:rFonts w:ascii="Times New Roman" w:eastAsia="Times New Roman" w:hAnsi="Times New Roman" w:cs="Times New Roman"/>
          <w:kern w:val="0"/>
          <w14:ligatures w14:val="none"/>
        </w:rPr>
        <w:t>they also weaken the cost basis used to set DRG weights</w:t>
      </w:r>
      <w:r w:rsidR="00F73DB8">
        <w:rPr>
          <w:rFonts w:ascii="Times New Roman" w:eastAsia="Times New Roman" w:hAnsi="Times New Roman" w:cs="Times New Roman"/>
          <w:kern w:val="0"/>
          <w14:ligatures w14:val="none"/>
        </w:rPr>
        <w:t>.</w:t>
      </w:r>
    </w:p>
    <w:p w14:paraId="632D2FF1" w14:textId="43E2B901" w:rsidR="00DB39A9" w:rsidRPr="00DB39A9" w:rsidRDefault="00F73DB8" w:rsidP="00DB39A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sounds negative if the focus is solely on Medicare beneficiaries. However, with 60% of Medicare beneficiaries being enrolled in Medicare Advantage (all parts of Medicare through one private payor), this is becoming less of an issue as one party is reimbursing for the entire continuum of care. Aetna/Caremark will look upon this favorably for example. There is a lot more nuance than that, but as we seemingly move to a more consolidated approach to health care in the U.S. lessening the costs downstream will result in better reimbursement upstream (e.g., star-rating payments, payor bonus payments).</w:t>
      </w:r>
    </w:p>
    <w:p w14:paraId="0BD2F897" w14:textId="77777777" w:rsidR="00DB39A9" w:rsidRDefault="00DB39A9" w:rsidP="00DB39A9">
      <w:pPr>
        <w:rPr>
          <w:rFonts w:ascii="Times New Roman" w:eastAsia="Times New Roman" w:hAnsi="Times New Roman" w:cs="Times New Roman"/>
          <w:kern w:val="0"/>
          <w14:ligatures w14:val="none"/>
        </w:rPr>
      </w:pPr>
      <w:r w:rsidRPr="00DB39A9">
        <w:rPr>
          <w:rFonts w:ascii="Times New Roman" w:eastAsia="Times New Roman" w:hAnsi="Times New Roman" w:cs="Times New Roman"/>
          <w:kern w:val="0"/>
          <w14:ligatures w14:val="none"/>
        </w:rPr>
        <w:t>Please see the attachment for a more detailed breakdown and supporting analysis.</w:t>
      </w:r>
    </w:p>
    <w:p w14:paraId="0AE9C4BA" w14:textId="28B714AC" w:rsidR="00F73DB8" w:rsidRDefault="00F73DB8" w:rsidP="00DB39A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Best,</w:t>
      </w:r>
    </w:p>
    <w:p w14:paraId="366FD61B" w14:textId="6B7171EF" w:rsidR="00F73DB8" w:rsidRPr="00DB39A9" w:rsidRDefault="00F73DB8" w:rsidP="00DB39A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Joseph</w:t>
      </w:r>
    </w:p>
    <w:bookmarkEnd w:id="0"/>
    <w:p w14:paraId="1EA6C23A" w14:textId="094769C6" w:rsidR="00CE6975" w:rsidRPr="00DB39A9" w:rsidRDefault="00CE6975" w:rsidP="00DB39A9"/>
    <w:sectPr w:rsidR="00CE6975" w:rsidRPr="00DB3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55F6"/>
    <w:multiLevelType w:val="multilevel"/>
    <w:tmpl w:val="18A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E3978"/>
    <w:multiLevelType w:val="multilevel"/>
    <w:tmpl w:val="D9A4E1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C96ADF"/>
    <w:multiLevelType w:val="multilevel"/>
    <w:tmpl w:val="25D4ABF6"/>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41CB7"/>
    <w:multiLevelType w:val="multilevel"/>
    <w:tmpl w:val="C4F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562EC"/>
    <w:multiLevelType w:val="multilevel"/>
    <w:tmpl w:val="847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54191"/>
    <w:multiLevelType w:val="hybridMultilevel"/>
    <w:tmpl w:val="1988D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523398"/>
    <w:multiLevelType w:val="multilevel"/>
    <w:tmpl w:val="343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9413B"/>
    <w:multiLevelType w:val="multilevel"/>
    <w:tmpl w:val="7F685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0774"/>
    <w:multiLevelType w:val="multilevel"/>
    <w:tmpl w:val="25D4ABF6"/>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8352B"/>
    <w:multiLevelType w:val="hybridMultilevel"/>
    <w:tmpl w:val="C6E6D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40EFA"/>
    <w:multiLevelType w:val="multilevel"/>
    <w:tmpl w:val="9C34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426EC"/>
    <w:multiLevelType w:val="multilevel"/>
    <w:tmpl w:val="A712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273CD"/>
    <w:multiLevelType w:val="multilevel"/>
    <w:tmpl w:val="BFDC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E4B1F"/>
    <w:multiLevelType w:val="multilevel"/>
    <w:tmpl w:val="731A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76DA6"/>
    <w:multiLevelType w:val="multilevel"/>
    <w:tmpl w:val="B6F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C385F"/>
    <w:multiLevelType w:val="hybridMultilevel"/>
    <w:tmpl w:val="B3426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B56B37"/>
    <w:multiLevelType w:val="multilevel"/>
    <w:tmpl w:val="F61A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338CC"/>
    <w:multiLevelType w:val="multilevel"/>
    <w:tmpl w:val="B5FC20E8"/>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0746116"/>
    <w:multiLevelType w:val="multilevel"/>
    <w:tmpl w:val="AF4A49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2DB1679"/>
    <w:multiLevelType w:val="multilevel"/>
    <w:tmpl w:val="B640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A734D"/>
    <w:multiLevelType w:val="multilevel"/>
    <w:tmpl w:val="540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76E26"/>
    <w:multiLevelType w:val="multilevel"/>
    <w:tmpl w:val="D5187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9D446D"/>
    <w:multiLevelType w:val="multilevel"/>
    <w:tmpl w:val="B5FC20E8"/>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51A150FE"/>
    <w:multiLevelType w:val="multilevel"/>
    <w:tmpl w:val="EE9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97C86"/>
    <w:multiLevelType w:val="multilevel"/>
    <w:tmpl w:val="018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93B1C"/>
    <w:multiLevelType w:val="multilevel"/>
    <w:tmpl w:val="C9A6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10F3A"/>
    <w:multiLevelType w:val="hybridMultilevel"/>
    <w:tmpl w:val="B374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CC75D7"/>
    <w:multiLevelType w:val="multilevel"/>
    <w:tmpl w:val="14F4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31E35"/>
    <w:multiLevelType w:val="multilevel"/>
    <w:tmpl w:val="3B46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C0F86"/>
    <w:multiLevelType w:val="multilevel"/>
    <w:tmpl w:val="850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9371B"/>
    <w:multiLevelType w:val="multilevel"/>
    <w:tmpl w:val="8A98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8446E"/>
    <w:multiLevelType w:val="multilevel"/>
    <w:tmpl w:val="F91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42602"/>
    <w:multiLevelType w:val="multilevel"/>
    <w:tmpl w:val="AAB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A49E7"/>
    <w:multiLevelType w:val="multilevel"/>
    <w:tmpl w:val="BD0E6C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17586C"/>
    <w:multiLevelType w:val="hybridMultilevel"/>
    <w:tmpl w:val="BC34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093498">
    <w:abstractNumId w:val="2"/>
  </w:num>
  <w:num w:numId="2" w16cid:durableId="1110661509">
    <w:abstractNumId w:val="19"/>
  </w:num>
  <w:num w:numId="3" w16cid:durableId="1227565860">
    <w:abstractNumId w:val="33"/>
  </w:num>
  <w:num w:numId="4" w16cid:durableId="801191179">
    <w:abstractNumId w:val="16"/>
  </w:num>
  <w:num w:numId="5" w16cid:durableId="1785228523">
    <w:abstractNumId w:val="17"/>
  </w:num>
  <w:num w:numId="6" w16cid:durableId="494030030">
    <w:abstractNumId w:val="22"/>
  </w:num>
  <w:num w:numId="7" w16cid:durableId="1669089179">
    <w:abstractNumId w:val="1"/>
  </w:num>
  <w:num w:numId="8" w16cid:durableId="1813325483">
    <w:abstractNumId w:val="18"/>
  </w:num>
  <w:num w:numId="9" w16cid:durableId="900792960">
    <w:abstractNumId w:val="8"/>
  </w:num>
  <w:num w:numId="10" w16cid:durableId="794099841">
    <w:abstractNumId w:val="34"/>
  </w:num>
  <w:num w:numId="11" w16cid:durableId="729692715">
    <w:abstractNumId w:val="15"/>
  </w:num>
  <w:num w:numId="12" w16cid:durableId="813765820">
    <w:abstractNumId w:val="5"/>
  </w:num>
  <w:num w:numId="13" w16cid:durableId="620917214">
    <w:abstractNumId w:val="9"/>
  </w:num>
  <w:num w:numId="14" w16cid:durableId="1605651037">
    <w:abstractNumId w:val="30"/>
  </w:num>
  <w:num w:numId="15" w16cid:durableId="135025342">
    <w:abstractNumId w:val="7"/>
  </w:num>
  <w:num w:numId="16" w16cid:durableId="2044548337">
    <w:abstractNumId w:val="6"/>
  </w:num>
  <w:num w:numId="17" w16cid:durableId="452477390">
    <w:abstractNumId w:val="32"/>
  </w:num>
  <w:num w:numId="18" w16cid:durableId="814494580">
    <w:abstractNumId w:val="13"/>
  </w:num>
  <w:num w:numId="19" w16cid:durableId="87628985">
    <w:abstractNumId w:val="10"/>
  </w:num>
  <w:num w:numId="20" w16cid:durableId="515075606">
    <w:abstractNumId w:val="12"/>
  </w:num>
  <w:num w:numId="21" w16cid:durableId="1604150055">
    <w:abstractNumId w:val="3"/>
  </w:num>
  <w:num w:numId="22" w16cid:durableId="394789532">
    <w:abstractNumId w:val="25"/>
  </w:num>
  <w:num w:numId="23" w16cid:durableId="1695574663">
    <w:abstractNumId w:val="20"/>
  </w:num>
  <w:num w:numId="24" w16cid:durableId="12805155">
    <w:abstractNumId w:val="0"/>
  </w:num>
  <w:num w:numId="25" w16cid:durableId="1360400690">
    <w:abstractNumId w:val="24"/>
  </w:num>
  <w:num w:numId="26" w16cid:durableId="1198545484">
    <w:abstractNumId w:val="27"/>
  </w:num>
  <w:num w:numId="27" w16cid:durableId="1333025860">
    <w:abstractNumId w:val="28"/>
  </w:num>
  <w:num w:numId="28" w16cid:durableId="889416794">
    <w:abstractNumId w:val="29"/>
  </w:num>
  <w:num w:numId="29" w16cid:durableId="1827552895">
    <w:abstractNumId w:val="4"/>
  </w:num>
  <w:num w:numId="30" w16cid:durableId="756365523">
    <w:abstractNumId w:val="23"/>
  </w:num>
  <w:num w:numId="31" w16cid:durableId="687214303">
    <w:abstractNumId w:val="21"/>
  </w:num>
  <w:num w:numId="32" w16cid:durableId="196621432">
    <w:abstractNumId w:val="14"/>
  </w:num>
  <w:num w:numId="33" w16cid:durableId="1071123232">
    <w:abstractNumId w:val="11"/>
  </w:num>
  <w:num w:numId="34" w16cid:durableId="797913191">
    <w:abstractNumId w:val="31"/>
  </w:num>
  <w:num w:numId="35" w16cid:durableId="3615205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AAD"/>
    <w:rsid w:val="00047AAD"/>
    <w:rsid w:val="00092ACD"/>
    <w:rsid w:val="000F532D"/>
    <w:rsid w:val="00192D2C"/>
    <w:rsid w:val="00437277"/>
    <w:rsid w:val="00482676"/>
    <w:rsid w:val="004A63A4"/>
    <w:rsid w:val="005140EB"/>
    <w:rsid w:val="00526FF3"/>
    <w:rsid w:val="006141FC"/>
    <w:rsid w:val="00670611"/>
    <w:rsid w:val="007F60E7"/>
    <w:rsid w:val="008212EF"/>
    <w:rsid w:val="008B7D4E"/>
    <w:rsid w:val="009772A5"/>
    <w:rsid w:val="009808CF"/>
    <w:rsid w:val="00A40CE9"/>
    <w:rsid w:val="00AD08C7"/>
    <w:rsid w:val="00AD4CCB"/>
    <w:rsid w:val="00C7033A"/>
    <w:rsid w:val="00CE6975"/>
    <w:rsid w:val="00DB39A9"/>
    <w:rsid w:val="00DC3A73"/>
    <w:rsid w:val="00F73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5D24"/>
  <w15:chartTrackingRefBased/>
  <w15:docId w15:val="{68F00416-48C2-CB46-BF7E-9617AD22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A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A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7A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A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47A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AA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AA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A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A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7A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A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47A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AAD"/>
    <w:rPr>
      <w:rFonts w:eastAsiaTheme="majorEastAsia" w:cstheme="majorBidi"/>
      <w:color w:val="272727" w:themeColor="text1" w:themeTint="D8"/>
    </w:rPr>
  </w:style>
  <w:style w:type="paragraph" w:styleId="Title">
    <w:name w:val="Title"/>
    <w:basedOn w:val="Normal"/>
    <w:next w:val="Normal"/>
    <w:link w:val="TitleChar"/>
    <w:uiPriority w:val="10"/>
    <w:qFormat/>
    <w:rsid w:val="00047AA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A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A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7AAD"/>
    <w:rPr>
      <w:i/>
      <w:iCs/>
      <w:color w:val="404040" w:themeColor="text1" w:themeTint="BF"/>
    </w:rPr>
  </w:style>
  <w:style w:type="paragraph" w:styleId="ListParagraph">
    <w:name w:val="List Paragraph"/>
    <w:basedOn w:val="Normal"/>
    <w:uiPriority w:val="34"/>
    <w:qFormat/>
    <w:rsid w:val="00047AAD"/>
    <w:pPr>
      <w:ind w:left="720"/>
      <w:contextualSpacing/>
    </w:pPr>
  </w:style>
  <w:style w:type="character" w:styleId="IntenseEmphasis">
    <w:name w:val="Intense Emphasis"/>
    <w:basedOn w:val="DefaultParagraphFont"/>
    <w:uiPriority w:val="21"/>
    <w:qFormat/>
    <w:rsid w:val="00047AAD"/>
    <w:rPr>
      <w:i/>
      <w:iCs/>
      <w:color w:val="2F5496" w:themeColor="accent1" w:themeShade="BF"/>
    </w:rPr>
  </w:style>
  <w:style w:type="paragraph" w:styleId="IntenseQuote">
    <w:name w:val="Intense Quote"/>
    <w:basedOn w:val="Normal"/>
    <w:next w:val="Normal"/>
    <w:link w:val="IntenseQuoteChar"/>
    <w:uiPriority w:val="30"/>
    <w:qFormat/>
    <w:rsid w:val="00047A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AAD"/>
    <w:rPr>
      <w:i/>
      <w:iCs/>
      <w:color w:val="2F5496" w:themeColor="accent1" w:themeShade="BF"/>
    </w:rPr>
  </w:style>
  <w:style w:type="character" w:styleId="IntenseReference">
    <w:name w:val="Intense Reference"/>
    <w:basedOn w:val="DefaultParagraphFont"/>
    <w:uiPriority w:val="32"/>
    <w:qFormat/>
    <w:rsid w:val="00047AAD"/>
    <w:rPr>
      <w:b/>
      <w:bCs/>
      <w:smallCaps/>
      <w:color w:val="2F5496" w:themeColor="accent1" w:themeShade="BF"/>
      <w:spacing w:val="5"/>
    </w:rPr>
  </w:style>
  <w:style w:type="character" w:styleId="Hyperlink">
    <w:name w:val="Hyperlink"/>
    <w:basedOn w:val="DefaultParagraphFont"/>
    <w:uiPriority w:val="99"/>
    <w:unhideWhenUsed/>
    <w:rsid w:val="00A40CE9"/>
    <w:rPr>
      <w:color w:val="0563C1" w:themeColor="hyperlink"/>
      <w:u w:val="single"/>
    </w:rPr>
  </w:style>
  <w:style w:type="character" w:styleId="UnresolvedMention">
    <w:name w:val="Unresolved Mention"/>
    <w:basedOn w:val="DefaultParagraphFont"/>
    <w:uiPriority w:val="99"/>
    <w:semiHidden/>
    <w:unhideWhenUsed/>
    <w:rsid w:val="00A40CE9"/>
    <w:rPr>
      <w:color w:val="605E5C"/>
      <w:shd w:val="clear" w:color="auto" w:fill="E1DFDD"/>
    </w:rPr>
  </w:style>
  <w:style w:type="paragraph" w:customStyle="1" w:styleId="p1">
    <w:name w:val="p1"/>
    <w:basedOn w:val="Normal"/>
    <w:rsid w:val="00DB39A9"/>
    <w:rPr>
      <w:rFonts w:ascii="Times New Roman" w:eastAsia="Times New Roman" w:hAnsi="Times New Roman" w:cs="Times New Roman"/>
      <w:kern w:val="0"/>
      <w14:ligatures w14:val="none"/>
    </w:rPr>
  </w:style>
  <w:style w:type="paragraph" w:customStyle="1" w:styleId="p2">
    <w:name w:val="p2"/>
    <w:basedOn w:val="Normal"/>
    <w:rsid w:val="00DB39A9"/>
    <w:rPr>
      <w:rFonts w:ascii="Times New Roman" w:eastAsia="Times New Roman" w:hAnsi="Times New Roman" w:cs="Times New Roman"/>
      <w:kern w:val="0"/>
      <w14:ligatures w14:val="none"/>
    </w:rPr>
  </w:style>
  <w:style w:type="character" w:customStyle="1" w:styleId="s1">
    <w:name w:val="s1"/>
    <w:basedOn w:val="DefaultParagraphFont"/>
    <w:rsid w:val="00DB39A9"/>
  </w:style>
  <w:style w:type="character" w:customStyle="1" w:styleId="apple-converted-space">
    <w:name w:val="apple-converted-space"/>
    <w:basedOn w:val="DefaultParagraphFont"/>
    <w:rsid w:val="00DB3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Stewart</dc:creator>
  <cp:keywords/>
  <dc:description/>
  <cp:lastModifiedBy>Joseph Stewart</cp:lastModifiedBy>
  <cp:revision>3</cp:revision>
  <dcterms:created xsi:type="dcterms:W3CDTF">2026-04-02T10:52:00Z</dcterms:created>
  <dcterms:modified xsi:type="dcterms:W3CDTF">2026-04-03T18:10:00Z</dcterms:modified>
</cp:coreProperties>
</file>