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C4DD" w14:textId="77777777" w:rsidR="00C37EED" w:rsidRDefault="00000000">
      <w:pPr>
        <w:spacing w:before="160" w:after="40"/>
      </w:pPr>
      <w:r>
        <w:rPr>
          <w:rFonts w:ascii="Aptos" w:eastAsia="Aptos" w:hAnsi="Aptos"/>
          <w:b/>
          <w:color w:val="1C3F92"/>
          <w:sz w:val="19"/>
        </w:rPr>
        <w:t>Prepared for discussion</w:t>
      </w:r>
    </w:p>
    <w:p w14:paraId="03575A6F" w14:textId="77777777" w:rsidR="00C37EED" w:rsidRDefault="00000000">
      <w:pPr>
        <w:spacing w:after="80"/>
      </w:pPr>
      <w:r>
        <w:rPr>
          <w:rFonts w:ascii="Georgia" w:eastAsia="Georgia" w:hAnsi="Georgia"/>
          <w:b/>
          <w:color w:val="0F1A30"/>
          <w:sz w:val="42"/>
        </w:rPr>
        <w:t>Project X Discussion Questions and Answers</w:t>
      </w:r>
    </w:p>
    <w:p w14:paraId="49350973" w14:textId="77777777" w:rsidR="00C37EED" w:rsidRDefault="00000000">
      <w:pPr>
        <w:spacing w:after="240"/>
      </w:pPr>
      <w:r>
        <w:rPr>
          <w:rFonts w:ascii="Aptos" w:eastAsia="Aptos" w:hAnsi="Aptos"/>
          <w:b/>
          <w:color w:val="1C3F92"/>
        </w:rPr>
        <w:t>JL Policy Consulting, LLC</w:t>
      </w:r>
      <w:r>
        <w:rPr>
          <w:rFonts w:ascii="Aptos" w:eastAsia="Aptos" w:hAnsi="Aptos"/>
          <w:color w:val="4F5D78"/>
        </w:rPr>
        <w:t xml:space="preserve"> | March 29, 2026</w:t>
      </w:r>
    </w:p>
    <w:tbl>
      <w:tblPr>
        <w:tblW w:w="0" w:type="auto"/>
        <w:jc w:val="center"/>
        <w:tblLayout w:type="fixed"/>
        <w:tblLook w:val="04A0" w:firstRow="1" w:lastRow="0" w:firstColumn="1" w:lastColumn="0" w:noHBand="0" w:noVBand="1"/>
      </w:tblPr>
      <w:tblGrid>
        <w:gridCol w:w="9648"/>
      </w:tblGrid>
      <w:tr w:rsidR="00C37EED" w14:paraId="443A1F6D" w14:textId="77777777">
        <w:trPr>
          <w:jc w:val="center"/>
        </w:trPr>
        <w:tc>
          <w:tcPr>
            <w:tcW w:w="9648" w:type="dxa"/>
            <w:tcBorders>
              <w:top w:val="single" w:sz="6" w:space="0" w:color="D5DFED"/>
              <w:left w:val="single" w:sz="6" w:space="0" w:color="D5DFED"/>
              <w:bottom w:val="single" w:sz="6" w:space="0" w:color="D5DFED"/>
              <w:right w:val="single" w:sz="6" w:space="0" w:color="D5DFED"/>
            </w:tcBorders>
            <w:shd w:val="clear" w:color="auto" w:fill="EEF3FA"/>
          </w:tcPr>
          <w:p w14:paraId="12B8524D" w14:textId="77777777" w:rsidR="00C37EED" w:rsidRDefault="00000000">
            <w:pPr>
              <w:spacing w:after="0" w:line="264" w:lineRule="auto"/>
            </w:pPr>
            <w:r>
              <w:rPr>
                <w:rFonts w:ascii="Aptos" w:eastAsia="Aptos" w:hAnsi="Aptos"/>
                <w:b/>
                <w:color w:val="0F1A30"/>
                <w:sz w:val="19"/>
              </w:rPr>
              <w:t xml:space="preserve">Working note. </w:t>
            </w:r>
            <w:r>
              <w:rPr>
                <w:rFonts w:ascii="Aptos" w:eastAsia="Aptos" w:hAnsi="Aptos"/>
                <w:color w:val="4F5D78"/>
                <w:sz w:val="19"/>
              </w:rPr>
              <w:t>This version resets Section 0 around reimbursement constraints, pre-approval planning, and the launch realities of inpatient bundled payment. Pricing and reimbursement views remain directional until Product X has a final label, final ICD-10-PCS coding strategy, launch price, and Phase 3 evidence package.</w:t>
            </w:r>
          </w:p>
        </w:tc>
      </w:tr>
    </w:tbl>
    <w:p w14:paraId="04D46F12" w14:textId="77777777" w:rsidR="00C37EED" w:rsidRDefault="00000000">
      <w:pPr>
        <w:spacing w:before="320" w:after="120"/>
      </w:pPr>
      <w:r>
        <w:rPr>
          <w:rFonts w:ascii="Georgia" w:eastAsia="Georgia" w:hAnsi="Georgia"/>
          <w:b/>
          <w:color w:val="1C3F92"/>
          <w:sz w:val="30"/>
        </w:rPr>
        <w:t>Section 0. Reimbursement Constraints Framework and Launch Strategy</w:t>
      </w:r>
    </w:p>
    <w:p w14:paraId="64B5AA2D" w14:textId="77777777" w:rsidR="00C37EED" w:rsidRDefault="00000000">
      <w:pPr>
        <w:spacing w:after="160"/>
      </w:pPr>
      <w:r>
        <w:rPr>
          <w:rFonts w:ascii="Aptos" w:eastAsia="Aptos" w:hAnsi="Aptos"/>
          <w:color w:val="4F5D78"/>
          <w:sz w:val="21"/>
        </w:rPr>
        <w:t>Product X adoption is governed by a three-part reimbursement system: coding visibility, transitional payment support, and permanent DRG alignment. Failure in any one component constrains adoption regardless of clinical performance. In the inpatient MS-DRG environment, hospitals do not adopt a new therapy simply because the clinical rationale is strong. Adoption depends on whether the product can be identified in claims, whether near-term payment support offsets launch-period margin pressure, and whether longer-term claims experience supports permanent payment realignment [2, 6, 10].</w:t>
      </w:r>
    </w:p>
    <w:p w14:paraId="284E79BC" w14:textId="77777777" w:rsidR="00C37EED" w:rsidRDefault="00000000">
      <w:pPr>
        <w:spacing w:after="160"/>
      </w:pPr>
      <w:r>
        <w:rPr>
          <w:rFonts w:ascii="Aptos" w:eastAsia="Aptos" w:hAnsi="Aptos"/>
          <w:color w:val="4F5D78"/>
          <w:sz w:val="21"/>
        </w:rPr>
        <w:t>That framing materially changes the sponsor narrative. Product X should be evaluated as a clinically promising asset operating inside a constrained reimbursement system rather than as a therapy that will convert clinical interest into broad use on its own. A 48-hour ICU infusion enters the market inside existing stroke and EVT DRGs unless CMS can see the technology distinctly in claims, approve temporary add-on payment, and later observe enough coded cost signal to adjust permanent payment weights. Those steps are interdependent rather than sequential conveniences [2, 6, 10].</w:t>
      </w:r>
    </w:p>
    <w:p w14:paraId="65A0DEA9" w14:textId="77777777" w:rsidR="00C37EED" w:rsidRDefault="00000000">
      <w:pPr>
        <w:spacing w:before="200" w:after="80"/>
      </w:pPr>
      <w:r>
        <w:rPr>
          <w:rFonts w:ascii="Georgia" w:eastAsia="Georgia" w:hAnsi="Georgia"/>
          <w:b/>
          <w:color w:val="0F1A30"/>
          <w:sz w:val="24"/>
        </w:rPr>
        <w:t>0.1 Reimbursement Constraints Framework</w:t>
      </w:r>
    </w:p>
    <w:p w14:paraId="678AF087" w14:textId="77777777" w:rsidR="00C37EED" w:rsidRDefault="00000000">
      <w:pPr>
        <w:spacing w:after="160"/>
      </w:pPr>
      <w:r>
        <w:rPr>
          <w:rFonts w:ascii="Aptos" w:eastAsia="Aptos" w:hAnsi="Aptos"/>
          <w:color w:val="4F5D78"/>
          <w:sz w:val="21"/>
        </w:rPr>
        <w:t>The first constraint is coding visibility. CMS states that a technology must be uniquely identifiable in hospital claims data to receive NTAP, and that same visibility is what later allows Product X to appear in the claims and payment datasets used for MS-DRG review [6, 9, 10]. The second constraint is transitional payment adequacy. NTAP is not baseline coverage; it is a temporary add-on that offsets part of the gap between the case cost and the standard DRG payment while CMS waits for claims-based evidence to accumulate [6]. The third constraint is permanent payment alignment. MS-DRG weights are recalibrated annually, but only after CMS has coded utilization and cost data robust enough to recognize that the resource profile of these cases has changed [16, 18].</w:t>
      </w:r>
    </w:p>
    <w:p w14:paraId="583A63E7" w14:textId="77777777" w:rsidR="00C37EED" w:rsidRDefault="00000000">
      <w:pPr>
        <w:spacing w:before="160" w:after="60"/>
      </w:pPr>
      <w:r>
        <w:rPr>
          <w:rFonts w:ascii="Aptos" w:eastAsia="Aptos" w:hAnsi="Aptos"/>
          <w:b/>
          <w:color w:val="1C3F92"/>
          <w:sz w:val="17"/>
        </w:rPr>
        <w:t>REIMBURSEMENT FLOW</w:t>
      </w:r>
    </w:p>
    <w:tbl>
      <w:tblPr>
        <w:tblW w:w="0" w:type="auto"/>
        <w:jc w:val="center"/>
        <w:tblLayout w:type="fixed"/>
        <w:tblLook w:val="04A0" w:firstRow="1" w:lastRow="0" w:firstColumn="1" w:lastColumn="0" w:noHBand="0" w:noVBand="1"/>
      </w:tblPr>
      <w:tblGrid>
        <w:gridCol w:w="3096"/>
        <w:gridCol w:w="3096"/>
        <w:gridCol w:w="3096"/>
      </w:tblGrid>
      <w:tr w:rsidR="00C37EED" w14:paraId="1853381D" w14:textId="77777777">
        <w:trPr>
          <w:jc w:val="center"/>
        </w:trPr>
        <w:tc>
          <w:tcPr>
            <w:tcW w:w="3096" w:type="dxa"/>
            <w:tcBorders>
              <w:top w:val="single" w:sz="6" w:space="0" w:color="D5DFED"/>
              <w:left w:val="single" w:sz="6" w:space="0" w:color="D5DFED"/>
              <w:bottom w:val="single" w:sz="6" w:space="0" w:color="D5DFED"/>
              <w:right w:val="single" w:sz="6" w:space="0" w:color="D5DFED"/>
            </w:tcBorders>
            <w:shd w:val="clear" w:color="auto" w:fill="EEF3FA"/>
            <w:vAlign w:val="center"/>
          </w:tcPr>
          <w:p w14:paraId="53176E3B" w14:textId="77777777" w:rsidR="00C37EED" w:rsidRDefault="00000000">
            <w:pPr>
              <w:spacing w:after="40" w:line="240" w:lineRule="auto"/>
            </w:pPr>
            <w:r>
              <w:rPr>
                <w:rFonts w:ascii="Aptos" w:eastAsia="Aptos" w:hAnsi="Aptos"/>
                <w:b/>
                <w:color w:val="1C3F92"/>
                <w:sz w:val="18"/>
              </w:rPr>
              <w:t>Constraint 1: Coding visibility</w:t>
            </w:r>
          </w:p>
          <w:p w14:paraId="44ECBB0E" w14:textId="77777777" w:rsidR="00C37EED" w:rsidRDefault="00000000">
            <w:pPr>
              <w:spacing w:after="0" w:line="252" w:lineRule="auto"/>
            </w:pPr>
            <w:r>
              <w:rPr>
                <w:rFonts w:ascii="Aptos" w:eastAsia="Aptos" w:hAnsi="Aptos"/>
                <w:color w:val="4F5D78"/>
                <w:sz w:val="18"/>
              </w:rPr>
              <w:t>Product X must be uniquely captured in inpatient claims so CMS and hospitals can observe use, cost, and case mix.</w:t>
            </w:r>
          </w:p>
        </w:tc>
        <w:tc>
          <w:tcPr>
            <w:tcW w:w="3096" w:type="dxa"/>
            <w:tcBorders>
              <w:top w:val="single" w:sz="6" w:space="0" w:color="D5DFED"/>
              <w:left w:val="single" w:sz="6" w:space="0" w:color="D5DFED"/>
              <w:bottom w:val="single" w:sz="6" w:space="0" w:color="D5DFED"/>
              <w:right w:val="single" w:sz="6" w:space="0" w:color="D5DFED"/>
            </w:tcBorders>
            <w:shd w:val="clear" w:color="auto" w:fill="EEF3FA"/>
            <w:vAlign w:val="center"/>
          </w:tcPr>
          <w:p w14:paraId="48D0D7F6" w14:textId="77777777" w:rsidR="00C37EED" w:rsidRDefault="00000000">
            <w:pPr>
              <w:spacing w:after="40" w:line="240" w:lineRule="auto"/>
            </w:pPr>
            <w:r>
              <w:rPr>
                <w:rFonts w:ascii="Aptos" w:eastAsia="Aptos" w:hAnsi="Aptos"/>
                <w:b/>
                <w:color w:val="1C3F92"/>
                <w:sz w:val="18"/>
              </w:rPr>
              <w:t>Constraint 2: Transitional payment adequacy</w:t>
            </w:r>
          </w:p>
          <w:p w14:paraId="0EF9C3F9" w14:textId="77777777" w:rsidR="00C37EED" w:rsidRDefault="00000000">
            <w:pPr>
              <w:spacing w:after="0" w:line="252" w:lineRule="auto"/>
            </w:pPr>
            <w:r>
              <w:rPr>
                <w:rFonts w:ascii="Aptos" w:eastAsia="Aptos" w:hAnsi="Aptos"/>
                <w:color w:val="4F5D78"/>
                <w:sz w:val="18"/>
              </w:rPr>
              <w:t>NTAP can partially offset launch-period losses, but only if Product X meets CMS's timing, cost, and evidence tests.</w:t>
            </w:r>
          </w:p>
        </w:tc>
        <w:tc>
          <w:tcPr>
            <w:tcW w:w="3096" w:type="dxa"/>
            <w:tcBorders>
              <w:top w:val="single" w:sz="6" w:space="0" w:color="D5DFED"/>
              <w:left w:val="single" w:sz="6" w:space="0" w:color="D5DFED"/>
              <w:bottom w:val="single" w:sz="6" w:space="0" w:color="D5DFED"/>
              <w:right w:val="single" w:sz="6" w:space="0" w:color="D5DFED"/>
            </w:tcBorders>
            <w:shd w:val="clear" w:color="auto" w:fill="EEF3FA"/>
            <w:vAlign w:val="center"/>
          </w:tcPr>
          <w:p w14:paraId="1EDFE580" w14:textId="77777777" w:rsidR="00C37EED" w:rsidRDefault="00000000">
            <w:pPr>
              <w:spacing w:after="40" w:line="240" w:lineRule="auto"/>
            </w:pPr>
            <w:r>
              <w:rPr>
                <w:rFonts w:ascii="Aptos" w:eastAsia="Aptos" w:hAnsi="Aptos"/>
                <w:b/>
                <w:color w:val="1C3F92"/>
                <w:sz w:val="18"/>
              </w:rPr>
              <w:t>Constraint 3: Permanent DRG alignment</w:t>
            </w:r>
          </w:p>
          <w:p w14:paraId="0E742244" w14:textId="77777777" w:rsidR="00C37EED" w:rsidRDefault="00000000">
            <w:pPr>
              <w:spacing w:after="0" w:line="252" w:lineRule="auto"/>
            </w:pPr>
            <w:r>
              <w:rPr>
                <w:rFonts w:ascii="Aptos" w:eastAsia="Aptos" w:hAnsi="Aptos"/>
                <w:color w:val="4F5D78"/>
                <w:sz w:val="18"/>
              </w:rPr>
              <w:t>Long-run economics depend on annual MS-DRG recalibration or a DRG refinement supported by coded real-world claims.</w:t>
            </w:r>
          </w:p>
        </w:tc>
      </w:tr>
    </w:tbl>
    <w:p w14:paraId="4B9C66DC" w14:textId="77777777" w:rsidR="00C37EED" w:rsidRDefault="00000000">
      <w:pPr>
        <w:spacing w:before="200" w:after="80"/>
      </w:pPr>
      <w:r>
        <w:rPr>
          <w:rFonts w:ascii="Georgia" w:eastAsia="Georgia" w:hAnsi="Georgia"/>
          <w:b/>
          <w:color w:val="0F1A30"/>
          <w:sz w:val="24"/>
        </w:rPr>
        <w:t>0.2 Pre-Approval Reimbursement Requirements</w:t>
      </w:r>
    </w:p>
    <w:p w14:paraId="4A22D3D9" w14:textId="77777777" w:rsidR="00C37EED" w:rsidRDefault="00000000">
      <w:pPr>
        <w:spacing w:after="160"/>
      </w:pPr>
      <w:r>
        <w:rPr>
          <w:rFonts w:ascii="Aptos" w:eastAsia="Aptos" w:hAnsi="Aptos"/>
          <w:color w:val="4F5D78"/>
          <w:sz w:val="21"/>
        </w:rPr>
        <w:t>Reimbursement success at launch is largely determined before FDA approval. Coding, NTAP eligibility, and evidentiary positioning must be aligned during Phase 3 development rather than addressed post-approval. For Product X, that means the ICD-10-PCS strategy must be defined early enough to move through MEARIS and the ICD-10 Coordination and Maintenance process, the NTAP application must be prepared before approval, and the Phase 3 dataset must be built to answer CMS's substantial clinical improvement questions rather than relying on directional clinical enthusiasm after the fact [6, 9].</w:t>
      </w:r>
    </w:p>
    <w:p w14:paraId="35260213" w14:textId="50B7BE21" w:rsidR="00C37EED" w:rsidRDefault="00000000">
      <w:pPr>
        <w:spacing w:after="160"/>
      </w:pPr>
      <w:r>
        <w:rPr>
          <w:rFonts w:ascii="Aptos" w:eastAsia="Aptos" w:hAnsi="Aptos"/>
          <w:color w:val="4F5D78"/>
          <w:sz w:val="21"/>
        </w:rPr>
        <w:t xml:space="preserve">CMS's current FY 2027 NTAP cycle illustrates the timing pressure. The last opportunity to submit an ICD-10-PCS request and still receive a code in time for NTAP implementation </w:t>
      </w:r>
      <w:r w:rsidR="00CF46F5">
        <w:rPr>
          <w:rFonts w:ascii="Aptos" w:eastAsia="Aptos" w:hAnsi="Aptos"/>
          <w:color w:val="4F5D78"/>
          <w:sz w:val="21"/>
        </w:rPr>
        <w:t xml:space="preserve">was </w:t>
      </w:r>
      <w:r>
        <w:rPr>
          <w:rFonts w:ascii="Aptos" w:eastAsia="Aptos" w:hAnsi="Aptos"/>
          <w:color w:val="4F5D78"/>
          <w:sz w:val="21"/>
        </w:rPr>
        <w:t xml:space="preserve">December 5, 2025, supplemental NTAP materials due by December 15, 2025, FDA marketing authorization must be secured by May 1, 2026, the final IPPS rule is posted on August 1, 2026, and approved NTAPs become effective on October 1, 2026 [6]. If FDA approval slips past the May 1 cutoff, Product X </w:t>
      </w:r>
      <w:r w:rsidR="00423463">
        <w:rPr>
          <w:rFonts w:ascii="Aptos" w:eastAsia="Aptos" w:hAnsi="Aptos"/>
          <w:color w:val="4F5D78"/>
          <w:sz w:val="21"/>
        </w:rPr>
        <w:t>w</w:t>
      </w:r>
      <w:r>
        <w:rPr>
          <w:rFonts w:ascii="Aptos" w:eastAsia="Aptos" w:hAnsi="Aptos"/>
          <w:color w:val="4F5D78"/>
          <w:sz w:val="21"/>
        </w:rPr>
        <w:t>ould launch into a full fiscal year of standard DRG payment without NTAP even if its clinical data are otherwise supportive. That FDA-versus-IPPS timing misalignment is a real commercialization risk, not an administrative footnote [6].</w:t>
      </w:r>
    </w:p>
    <w:p w14:paraId="0E2A6F5E" w14:textId="77777777" w:rsidR="00C37EED" w:rsidRDefault="00000000">
      <w:pPr>
        <w:spacing w:after="160"/>
      </w:pPr>
      <w:r>
        <w:rPr>
          <w:rFonts w:ascii="Aptos" w:eastAsia="Aptos" w:hAnsi="Aptos"/>
          <w:color w:val="4F5D78"/>
          <w:sz w:val="21"/>
        </w:rPr>
        <w:t>The evidentiary burden also needs to be framed correctly. Under the traditional NTAP pathway, CMS evaluates whether the product is new, whether the applicable MS-DRG payment is inadequate, and whether the technology substantially improves diagnosis or treatment relative to existing options [6]. For Product X, that means Phase 3 evidence should be able to show meaningful improvement in patient groups not well served today or significant improvement in clinical outcomes such as functional recovery, mortality, discharge disposition, or other endpoints that change management. Directional biomarker movement or a loosely favorable narrative is not the same as the substantial clinical improvement standard [6].</w:t>
      </w:r>
    </w:p>
    <w:p w14:paraId="0CFF222C" w14:textId="77777777" w:rsidR="00C37EED" w:rsidRDefault="00000000">
      <w:pPr>
        <w:spacing w:before="160" w:after="60"/>
      </w:pPr>
      <w:r>
        <w:rPr>
          <w:rFonts w:ascii="Aptos" w:eastAsia="Aptos" w:hAnsi="Aptos"/>
          <w:b/>
          <w:color w:val="1C3F92"/>
          <w:sz w:val="17"/>
        </w:rPr>
        <w:t>LAUNCH TIMELINE</w:t>
      </w:r>
    </w:p>
    <w:tbl>
      <w:tblPr>
        <w:tblW w:w="0" w:type="auto"/>
        <w:jc w:val="center"/>
        <w:tblLayout w:type="fixed"/>
        <w:tblLook w:val="04A0" w:firstRow="1" w:lastRow="0" w:firstColumn="1" w:lastColumn="0" w:noHBand="0" w:noVBand="1"/>
      </w:tblPr>
      <w:tblGrid>
        <w:gridCol w:w="2376"/>
        <w:gridCol w:w="2376"/>
        <w:gridCol w:w="2376"/>
        <w:gridCol w:w="2376"/>
      </w:tblGrid>
      <w:tr w:rsidR="00C37EED" w14:paraId="40DE4C48" w14:textId="77777777">
        <w:trPr>
          <w:jc w:val="center"/>
        </w:trPr>
        <w:tc>
          <w:tcPr>
            <w:tcW w:w="2376" w:type="dxa"/>
            <w:tcBorders>
              <w:top w:val="single" w:sz="6" w:space="0" w:color="D5DFED"/>
              <w:left w:val="single" w:sz="6" w:space="0" w:color="D5DFED"/>
              <w:bottom w:val="single" w:sz="6" w:space="0" w:color="D5DFED"/>
              <w:right w:val="single" w:sz="6" w:space="0" w:color="D5DFED"/>
            </w:tcBorders>
            <w:shd w:val="clear" w:color="auto" w:fill="DCE7F6"/>
            <w:vAlign w:val="center"/>
          </w:tcPr>
          <w:p w14:paraId="32CEAE3A" w14:textId="77777777" w:rsidR="00C37EED" w:rsidRDefault="00000000">
            <w:pPr>
              <w:spacing w:after="0" w:line="240" w:lineRule="auto"/>
              <w:jc w:val="center"/>
            </w:pPr>
            <w:r>
              <w:rPr>
                <w:rFonts w:ascii="Aptos" w:eastAsia="Aptos" w:hAnsi="Aptos"/>
                <w:b/>
                <w:color w:val="0F1A30"/>
                <w:sz w:val="18"/>
              </w:rPr>
              <w:t>Pre-approval planning</w:t>
            </w:r>
          </w:p>
        </w:tc>
        <w:tc>
          <w:tcPr>
            <w:tcW w:w="2376" w:type="dxa"/>
            <w:tcBorders>
              <w:top w:val="single" w:sz="6" w:space="0" w:color="D5DFED"/>
              <w:left w:val="single" w:sz="6" w:space="0" w:color="D5DFED"/>
              <w:bottom w:val="single" w:sz="6" w:space="0" w:color="D5DFED"/>
              <w:right w:val="single" w:sz="6" w:space="0" w:color="D5DFED"/>
            </w:tcBorders>
            <w:shd w:val="clear" w:color="auto" w:fill="DCE7F6"/>
            <w:vAlign w:val="center"/>
          </w:tcPr>
          <w:p w14:paraId="3DFEC269" w14:textId="77777777" w:rsidR="00C37EED" w:rsidRDefault="00000000">
            <w:pPr>
              <w:spacing w:after="0" w:line="240" w:lineRule="auto"/>
              <w:jc w:val="center"/>
            </w:pPr>
            <w:r>
              <w:rPr>
                <w:rFonts w:ascii="Aptos" w:eastAsia="Aptos" w:hAnsi="Aptos"/>
                <w:b/>
                <w:color w:val="0F1A30"/>
                <w:sz w:val="18"/>
              </w:rPr>
              <w:t>CMS coding cycle</w:t>
            </w:r>
          </w:p>
        </w:tc>
        <w:tc>
          <w:tcPr>
            <w:tcW w:w="2376" w:type="dxa"/>
            <w:tcBorders>
              <w:top w:val="single" w:sz="6" w:space="0" w:color="D5DFED"/>
              <w:left w:val="single" w:sz="6" w:space="0" w:color="D5DFED"/>
              <w:bottom w:val="single" w:sz="6" w:space="0" w:color="D5DFED"/>
              <w:right w:val="single" w:sz="6" w:space="0" w:color="D5DFED"/>
            </w:tcBorders>
            <w:shd w:val="clear" w:color="auto" w:fill="DCE7F6"/>
            <w:vAlign w:val="center"/>
          </w:tcPr>
          <w:p w14:paraId="7174F9BA" w14:textId="77777777" w:rsidR="00C37EED" w:rsidRDefault="00000000">
            <w:pPr>
              <w:spacing w:after="0" w:line="240" w:lineRule="auto"/>
              <w:jc w:val="center"/>
            </w:pPr>
            <w:r>
              <w:rPr>
                <w:rFonts w:ascii="Aptos" w:eastAsia="Aptos" w:hAnsi="Aptos"/>
                <w:b/>
                <w:color w:val="0F1A30"/>
                <w:sz w:val="18"/>
              </w:rPr>
              <w:t>Launch window</w:t>
            </w:r>
          </w:p>
        </w:tc>
        <w:tc>
          <w:tcPr>
            <w:tcW w:w="2376" w:type="dxa"/>
            <w:tcBorders>
              <w:top w:val="single" w:sz="6" w:space="0" w:color="D5DFED"/>
              <w:left w:val="single" w:sz="6" w:space="0" w:color="D5DFED"/>
              <w:bottom w:val="single" w:sz="6" w:space="0" w:color="D5DFED"/>
              <w:right w:val="single" w:sz="6" w:space="0" w:color="D5DFED"/>
            </w:tcBorders>
            <w:shd w:val="clear" w:color="auto" w:fill="DCE7F6"/>
            <w:vAlign w:val="center"/>
          </w:tcPr>
          <w:p w14:paraId="2F9D4EA1" w14:textId="77777777" w:rsidR="00C37EED" w:rsidRDefault="00000000">
            <w:pPr>
              <w:spacing w:after="0" w:line="240" w:lineRule="auto"/>
              <w:jc w:val="center"/>
            </w:pPr>
            <w:r>
              <w:rPr>
                <w:rFonts w:ascii="Aptos" w:eastAsia="Aptos" w:hAnsi="Aptos"/>
                <w:b/>
                <w:color w:val="0F1A30"/>
                <w:sz w:val="18"/>
              </w:rPr>
              <w:t>Post-launch payment</w:t>
            </w:r>
          </w:p>
        </w:tc>
      </w:tr>
      <w:tr w:rsidR="00C37EED" w14:paraId="55AFE5D2" w14:textId="77777777">
        <w:trPr>
          <w:jc w:val="center"/>
        </w:trPr>
        <w:tc>
          <w:tcPr>
            <w:tcW w:w="2376" w:type="dxa"/>
            <w:tcBorders>
              <w:top w:val="single" w:sz="6" w:space="0" w:color="D5DFED"/>
              <w:left w:val="single" w:sz="6" w:space="0" w:color="D5DFED"/>
              <w:bottom w:val="single" w:sz="6" w:space="0" w:color="D5DFED"/>
              <w:right w:val="single" w:sz="6" w:space="0" w:color="D5DFED"/>
            </w:tcBorders>
            <w:vAlign w:val="center"/>
          </w:tcPr>
          <w:p w14:paraId="2B213F2C" w14:textId="77777777" w:rsidR="00C37EED" w:rsidRDefault="00000000">
            <w:pPr>
              <w:spacing w:after="0" w:line="252" w:lineRule="auto"/>
              <w:jc w:val="center"/>
            </w:pPr>
            <w:r>
              <w:rPr>
                <w:rFonts w:ascii="Aptos" w:eastAsia="Aptos" w:hAnsi="Aptos"/>
                <w:color w:val="4F5D78"/>
                <w:sz w:val="17"/>
              </w:rPr>
              <w:t>Define code strategy, collect Phase 3 endpoints that speak to SCI, and prepare NTAP dossier.</w:t>
            </w:r>
          </w:p>
        </w:tc>
        <w:tc>
          <w:tcPr>
            <w:tcW w:w="2376" w:type="dxa"/>
            <w:tcBorders>
              <w:top w:val="single" w:sz="6" w:space="0" w:color="D5DFED"/>
              <w:left w:val="single" w:sz="6" w:space="0" w:color="D5DFED"/>
              <w:bottom w:val="single" w:sz="6" w:space="0" w:color="D5DFED"/>
              <w:right w:val="single" w:sz="6" w:space="0" w:color="D5DFED"/>
            </w:tcBorders>
            <w:vAlign w:val="center"/>
          </w:tcPr>
          <w:p w14:paraId="35814CBB" w14:textId="77777777" w:rsidR="00C37EED" w:rsidRDefault="00000000">
            <w:pPr>
              <w:spacing w:after="0" w:line="252" w:lineRule="auto"/>
              <w:jc w:val="center"/>
            </w:pPr>
            <w:r>
              <w:rPr>
                <w:rFonts w:ascii="Aptos" w:eastAsia="Aptos" w:hAnsi="Aptos"/>
                <w:color w:val="4F5D78"/>
                <w:sz w:val="17"/>
              </w:rPr>
              <w:t>Submit MEARIS materials and C&amp;M presentation early enough to target an October 1 code effective date.</w:t>
            </w:r>
          </w:p>
        </w:tc>
        <w:tc>
          <w:tcPr>
            <w:tcW w:w="2376" w:type="dxa"/>
            <w:tcBorders>
              <w:top w:val="single" w:sz="6" w:space="0" w:color="D5DFED"/>
              <w:left w:val="single" w:sz="6" w:space="0" w:color="D5DFED"/>
              <w:bottom w:val="single" w:sz="6" w:space="0" w:color="D5DFED"/>
              <w:right w:val="single" w:sz="6" w:space="0" w:color="D5DFED"/>
            </w:tcBorders>
            <w:vAlign w:val="center"/>
          </w:tcPr>
          <w:p w14:paraId="3C69824B" w14:textId="77777777" w:rsidR="00C37EED" w:rsidRDefault="00000000">
            <w:pPr>
              <w:spacing w:after="0" w:line="252" w:lineRule="auto"/>
              <w:jc w:val="center"/>
            </w:pPr>
            <w:r>
              <w:rPr>
                <w:rFonts w:ascii="Aptos" w:eastAsia="Aptos" w:hAnsi="Aptos"/>
                <w:color w:val="4F5D78"/>
                <w:sz w:val="17"/>
              </w:rPr>
              <w:t>Receive FDA authorization by May 1 or the product risks missing the applicable NTAP fiscal year.</w:t>
            </w:r>
          </w:p>
        </w:tc>
        <w:tc>
          <w:tcPr>
            <w:tcW w:w="2376" w:type="dxa"/>
            <w:tcBorders>
              <w:top w:val="single" w:sz="6" w:space="0" w:color="D5DFED"/>
              <w:left w:val="single" w:sz="6" w:space="0" w:color="D5DFED"/>
              <w:bottom w:val="single" w:sz="6" w:space="0" w:color="D5DFED"/>
              <w:right w:val="single" w:sz="6" w:space="0" w:color="D5DFED"/>
            </w:tcBorders>
            <w:vAlign w:val="center"/>
          </w:tcPr>
          <w:p w14:paraId="36B8415A" w14:textId="77777777" w:rsidR="00C37EED" w:rsidRDefault="00000000">
            <w:pPr>
              <w:spacing w:after="0" w:line="252" w:lineRule="auto"/>
              <w:jc w:val="center"/>
            </w:pPr>
            <w:r>
              <w:rPr>
                <w:rFonts w:ascii="Aptos" w:eastAsia="Aptos" w:hAnsi="Aptos"/>
                <w:color w:val="4F5D78"/>
                <w:sz w:val="17"/>
              </w:rPr>
              <w:t>October 1 NTAP start, followed by multi-year claims accumulation before permanent DRG change is plausible.</w:t>
            </w:r>
          </w:p>
        </w:tc>
      </w:tr>
    </w:tbl>
    <w:p w14:paraId="5810981B" w14:textId="77777777" w:rsidR="00C37EED" w:rsidRDefault="00000000">
      <w:pPr>
        <w:spacing w:before="200" w:after="80"/>
      </w:pPr>
      <w:r>
        <w:rPr>
          <w:rFonts w:ascii="Georgia" w:eastAsia="Georgia" w:hAnsi="Georgia"/>
          <w:b/>
          <w:color w:val="0F1A30"/>
          <w:sz w:val="24"/>
        </w:rPr>
        <w:t>0.3 NTAP Strategy and Application Logistics</w:t>
      </w:r>
    </w:p>
    <w:p w14:paraId="0FA83674" w14:textId="77777777" w:rsidR="00C37EED" w:rsidRDefault="00000000">
      <w:pPr>
        <w:spacing w:after="160"/>
      </w:pPr>
      <w:r>
        <w:rPr>
          <w:rFonts w:ascii="Aptos" w:eastAsia="Aptos" w:hAnsi="Aptos"/>
          <w:color w:val="4F5D78"/>
          <w:sz w:val="21"/>
        </w:rPr>
        <w:t>For Product X, NTAP should be treated as a gating requirement rather than as an upside scenario because the product launches inside existing MS-DRGs. CMS's traditional pathway requires the technology to be new, costly enough that the otherwise applicable MS-DRG payment is inadequate, and supported by substantial clinical improvement evidence. NTAP payment is limited to the lesser of 65% of the technology cost or 65% of the amount by which the case cost exceeds the standard MS-DRG payment. The QIDP and LPAD alternative pathway uses 75%, but that antimicrobial pathway does not appear relevant to Product X [6].</w:t>
      </w:r>
    </w:p>
    <w:p w14:paraId="433DB02B" w14:textId="77777777" w:rsidR="00C37EED" w:rsidRDefault="00000000">
      <w:pPr>
        <w:spacing w:after="160"/>
      </w:pPr>
      <w:r>
        <w:rPr>
          <w:rFonts w:ascii="Aptos" w:eastAsia="Aptos" w:hAnsi="Aptos"/>
          <w:color w:val="4F5D78"/>
          <w:sz w:val="21"/>
        </w:rPr>
        <w:t>The cost criterion is often oversimplified. CMS does not use a single permanent national dollar hurdle for all products; the agency publishes annual threshold files tied to the relevant MS-DRG payment context, which means Product X has to be modeled against the stroke and EVT DRGs in which it is actually assigned rather than against a generic NTAP benchmark [6]. The newness window is also narrower than many sponsors assume. CMS states that a technology is generally no longer new once the MS-DRGs have been recalibrated to reflect its cost, and a product may fail the newness test sooner if CMS considers it substantially similar to an existing technology that has already been on the market for more than roughly two to three years [6].</w:t>
      </w:r>
    </w:p>
    <w:p w14:paraId="309C4C05" w14:textId="77777777" w:rsidR="00C37EED" w:rsidRDefault="00000000">
      <w:pPr>
        <w:spacing w:after="160"/>
      </w:pPr>
      <w:r>
        <w:rPr>
          <w:rFonts w:ascii="Aptos" w:eastAsia="Aptos" w:hAnsi="Aptos"/>
          <w:color w:val="4F5D78"/>
          <w:sz w:val="21"/>
        </w:rPr>
        <w:t>Historical patterns also argue against assuming NTAP is automatic. CMS approved eight new NTAP technologies in FY 2023, 19 NTAPs for 21 eligible technologies in FY 2024, 15 new applications in FY 2025, and 26 new NTAPs plus one conditional approval in FY 2026 [12, 13, 14, 15]. The pattern shows that approval volume changes materially by year and that the pathway remains competitive. The practical failure points are usually timing, substantial similarity, or an evidence package that does not persuade CMS that the technology materially improves care beyond existing alternatives. That is why Product X should be positioned around concrete Phase 3 endpoints and clearly documented operational and cost consequences rather than around optimistic launch rhetoric [6, 12, 13, 14, 15].</w:t>
      </w:r>
    </w:p>
    <w:p w14:paraId="771D32F4" w14:textId="77777777" w:rsidR="00C37EED" w:rsidRDefault="00000000">
      <w:pPr>
        <w:spacing w:before="200" w:after="80"/>
      </w:pPr>
      <w:r>
        <w:rPr>
          <w:rFonts w:ascii="Georgia" w:eastAsia="Georgia" w:hAnsi="Georgia"/>
          <w:b/>
          <w:color w:val="0F1A30"/>
          <w:sz w:val="24"/>
        </w:rPr>
        <w:t>0.4 ICD-10-PCS Coding Strategy and MEARIS Dependencies</w:t>
      </w:r>
    </w:p>
    <w:p w14:paraId="3638C45C" w14:textId="77777777" w:rsidR="00C37EED" w:rsidRDefault="00000000">
      <w:pPr>
        <w:spacing w:after="160"/>
      </w:pPr>
      <w:r>
        <w:rPr>
          <w:rFonts w:ascii="Aptos" w:eastAsia="Aptos" w:hAnsi="Aptos"/>
          <w:color w:val="4F5D78"/>
          <w:sz w:val="21"/>
        </w:rPr>
        <w:t>ICD-10-PCS coding is foundational because it determines whether Product X is visible at all in inpatient claims. CMS's Section X New Technology framework exists precisely for new technology procedures, including infusions of new technology drugs, that are not yet properly classified elsewhere in ICD-10-PCS, and those X codes function as standalone procedure codes rather than as supplemental tags [9, 10]. For Product X, a code strategy anchored in a Section X infusion code is directionally credible because the therapy is a discrete inpatient administration event with ICU workflow implications rather than a background pharmacy cost [10].</w:t>
      </w:r>
    </w:p>
    <w:p w14:paraId="3AD1D1B8" w14:textId="77777777" w:rsidR="00C37EED" w:rsidRDefault="00000000">
      <w:pPr>
        <w:spacing w:after="160"/>
      </w:pPr>
      <w:r>
        <w:rPr>
          <w:rFonts w:ascii="Aptos" w:eastAsia="Aptos" w:hAnsi="Aptos"/>
          <w:color w:val="4F5D78"/>
          <w:sz w:val="21"/>
        </w:rPr>
        <w:t>CMS only accepts ICD-10-PCS applications through MEARIS. Each request must include a background paper, Section 508-compliant slides in both PowerPoint and PDF formats, a description of the procedure steps, outcomes, complications, typical care setting, current coding inadequacy, and proposed code titles [9]. Requestors also must state whether they want April 1 or October 1 implementation and whether the request is tied to NTAP. CMS explicitly notes that if the associated NTAP application is not submitted or is later withdrawn, the Committee may postpone the code request to a future meeting [9].</w:t>
      </w:r>
    </w:p>
    <w:p w14:paraId="1E674096" w14:textId="77777777" w:rsidR="00C37EED" w:rsidRDefault="00000000">
      <w:pPr>
        <w:spacing w:after="160"/>
      </w:pPr>
      <w:r>
        <w:rPr>
          <w:rFonts w:ascii="Aptos" w:eastAsia="Aptos" w:hAnsi="Aptos"/>
          <w:color w:val="4F5D78"/>
          <w:sz w:val="21"/>
        </w:rPr>
        <w:t>The timing dependency is critical. CMS's NTAP guidance states that the last opportunity to apply for a new code and still receive it in time for NTAP implementation occurs in December following the NTAP application deadline [6]. That means the coding pathway cannot be treated as a post-approval clean-up exercise. Recent CMS therapeutic-agent topics illustrate the type of infusion-based technologies that move through this process: in September 2024 CMS reviewed new-code options for inpatient administration of emapalumab-lzsg and tarlatamab-dlle, both framed as intravenous therapeutic-agent administration requiring clearer coding than generic infusion codes [17]. Product X would need a similarly disciplined procedural description if the sponsor wants hospitals and CMS to distinguish it from background supportive care [9, 17].</w:t>
      </w:r>
    </w:p>
    <w:p w14:paraId="7A256B91" w14:textId="77777777" w:rsidR="00C37EED" w:rsidRDefault="00000000">
      <w:pPr>
        <w:spacing w:before="200" w:after="80"/>
      </w:pPr>
      <w:r>
        <w:rPr>
          <w:rFonts w:ascii="Georgia" w:eastAsia="Georgia" w:hAnsi="Georgia"/>
          <w:b/>
          <w:color w:val="0F1A30"/>
          <w:sz w:val="24"/>
        </w:rPr>
        <w:t>0.5 Launch Price Strategy in a DRG-Constrained System</w:t>
      </w:r>
    </w:p>
    <w:p w14:paraId="089C98E8" w14:textId="77777777" w:rsidR="00C37EED" w:rsidRDefault="00000000">
      <w:pPr>
        <w:spacing w:after="160"/>
      </w:pPr>
      <w:r>
        <w:rPr>
          <w:rFonts w:ascii="Aptos" w:eastAsia="Aptos" w:hAnsi="Aptos"/>
          <w:color w:val="4F5D78"/>
          <w:sz w:val="21"/>
        </w:rPr>
        <w:t>Launch price should be evaluated against hospital absorbability, not against an abstract willingness-to-pay narrative. Because Medicare generally does not pay separately for individual items or services inside the IPPS bundle, the hospital's near-term question is whether Product X creates a manageable uncovered increment under current DRGs while the reimbursement pathway matures [2, 6]. The pricing bands below should therefore be read as directional planning ranges, not as deterministic market outcomes.</w:t>
      </w:r>
    </w:p>
    <w:p w14:paraId="7AA2C017" w14:textId="77777777" w:rsidR="00C37EED" w:rsidRDefault="00000000">
      <w:pPr>
        <w:spacing w:before="160" w:after="60"/>
      </w:pPr>
      <w:r>
        <w:rPr>
          <w:rFonts w:ascii="Aptos" w:eastAsia="Aptos" w:hAnsi="Aptos"/>
          <w:b/>
          <w:color w:val="1C3F92"/>
          <w:sz w:val="17"/>
        </w:rPr>
        <w:t>PRICING THRESHOLDS</w:t>
      </w:r>
    </w:p>
    <w:tbl>
      <w:tblPr>
        <w:tblStyle w:val="TableGrid"/>
        <w:tblW w:w="0" w:type="auto"/>
        <w:jc w:val="center"/>
        <w:tblLayout w:type="fixed"/>
        <w:tblLook w:val="04A0" w:firstRow="1" w:lastRow="0" w:firstColumn="1" w:lastColumn="0" w:noHBand="0" w:noVBand="1"/>
      </w:tblPr>
      <w:tblGrid>
        <w:gridCol w:w="1728"/>
        <w:gridCol w:w="3096"/>
        <w:gridCol w:w="4824"/>
      </w:tblGrid>
      <w:tr w:rsidR="00C37EED" w14:paraId="62144085"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50B01AF4" w14:textId="77777777" w:rsidR="00C37EED" w:rsidRDefault="00000000">
            <w:r>
              <w:rPr>
                <w:rFonts w:ascii="Aptos" w:eastAsia="Aptos" w:hAnsi="Aptos"/>
                <w:b/>
                <w:color w:val="0F1A30"/>
                <w:sz w:val="19"/>
              </w:rPr>
              <w:t>Price range</w:t>
            </w:r>
          </w:p>
        </w:tc>
        <w:tc>
          <w:tcPr>
            <w:tcW w:w="3096"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0F06F25D" w14:textId="77777777" w:rsidR="00C37EED" w:rsidRDefault="00000000">
            <w:r>
              <w:rPr>
                <w:rFonts w:ascii="Aptos" w:eastAsia="Aptos" w:hAnsi="Aptos"/>
                <w:b/>
                <w:color w:val="0F1A30"/>
                <w:sz w:val="19"/>
              </w:rPr>
              <w:t>Adoption behavior</w:t>
            </w:r>
          </w:p>
        </w:tc>
        <w:tc>
          <w:tcPr>
            <w:tcW w:w="4824"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188C8698" w14:textId="77777777" w:rsidR="00C37EED" w:rsidRDefault="00000000">
            <w:r>
              <w:rPr>
                <w:rFonts w:ascii="Aptos" w:eastAsia="Aptos" w:hAnsi="Aptos"/>
                <w:b/>
                <w:color w:val="0F1A30"/>
                <w:sz w:val="19"/>
              </w:rPr>
              <w:t>Reimbursement dependency</w:t>
            </w:r>
          </w:p>
        </w:tc>
      </w:tr>
      <w:tr w:rsidR="00C37EED" w14:paraId="2A34AD5C"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3DFC1D36" w14:textId="77777777" w:rsidR="00C37EED" w:rsidRDefault="00000000">
            <w:pPr>
              <w:spacing w:line="252" w:lineRule="auto"/>
            </w:pPr>
            <w:r>
              <w:rPr>
                <w:rFonts w:ascii="Aptos" w:eastAsia="Aptos" w:hAnsi="Aptos"/>
                <w:color w:val="4F5D78"/>
                <w:sz w:val="19"/>
              </w:rPr>
              <w:t>$20K or less</w:t>
            </w:r>
          </w:p>
        </w:tc>
        <w:tc>
          <w:tcPr>
            <w:tcW w:w="3096"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BF973DE" w14:textId="77777777" w:rsidR="00C37EED" w:rsidRDefault="00000000">
            <w:pPr>
              <w:spacing w:line="252" w:lineRule="auto"/>
            </w:pPr>
            <w:r>
              <w:rPr>
                <w:rFonts w:ascii="Aptos" w:eastAsia="Aptos" w:hAnsi="Aptos"/>
                <w:color w:val="4F5D78"/>
                <w:sz w:val="19"/>
              </w:rPr>
              <w:t>Selective early use is plausible under current DRGs if the clinical story is strong and operational burden is manageable.</w:t>
            </w:r>
          </w:p>
        </w:tc>
        <w:tc>
          <w:tcPr>
            <w:tcW w:w="4824"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BDEB78E" w14:textId="77777777" w:rsidR="00C37EED" w:rsidRDefault="00000000">
            <w:pPr>
              <w:spacing w:line="252" w:lineRule="auto"/>
            </w:pPr>
            <w:r>
              <w:rPr>
                <w:rFonts w:ascii="Aptos" w:eastAsia="Aptos" w:hAnsi="Aptos"/>
                <w:color w:val="4F5D78"/>
                <w:sz w:val="19"/>
              </w:rPr>
              <w:t>Hospitals may absorb the cost without waiting for formal payment reform, but economics still depend on local case mix.</w:t>
            </w:r>
          </w:p>
        </w:tc>
      </w:tr>
      <w:tr w:rsidR="00C37EED" w14:paraId="19A25049" w14:textId="77777777">
        <w:trPr>
          <w:jc w:val="center"/>
        </w:trPr>
        <w:tc>
          <w:tcPr>
            <w:tcW w:w="1728" w:type="dxa"/>
            <w:tcBorders>
              <w:top w:val="single" w:sz="6" w:space="0" w:color="D5DFED"/>
              <w:left w:val="single" w:sz="6" w:space="0" w:color="D5DFED"/>
              <w:bottom w:val="single" w:sz="6" w:space="0" w:color="D5DFED"/>
              <w:right w:val="single" w:sz="6" w:space="0" w:color="D5DFED"/>
            </w:tcBorders>
            <w:vAlign w:val="center"/>
          </w:tcPr>
          <w:p w14:paraId="41EB761E" w14:textId="77777777" w:rsidR="00C37EED" w:rsidRDefault="00000000">
            <w:pPr>
              <w:spacing w:line="252" w:lineRule="auto"/>
            </w:pPr>
            <w:r>
              <w:rPr>
                <w:rFonts w:ascii="Aptos" w:eastAsia="Aptos" w:hAnsi="Aptos"/>
                <w:color w:val="4F5D78"/>
                <w:sz w:val="19"/>
              </w:rPr>
              <w:t>$25K-$35K</w:t>
            </w:r>
          </w:p>
        </w:tc>
        <w:tc>
          <w:tcPr>
            <w:tcW w:w="3096" w:type="dxa"/>
            <w:tcBorders>
              <w:top w:val="single" w:sz="6" w:space="0" w:color="D5DFED"/>
              <w:left w:val="single" w:sz="6" w:space="0" w:color="D5DFED"/>
              <w:bottom w:val="single" w:sz="6" w:space="0" w:color="D5DFED"/>
              <w:right w:val="single" w:sz="6" w:space="0" w:color="D5DFED"/>
            </w:tcBorders>
            <w:vAlign w:val="center"/>
          </w:tcPr>
          <w:p w14:paraId="011F329F" w14:textId="77777777" w:rsidR="00C37EED" w:rsidRDefault="00000000">
            <w:pPr>
              <w:spacing w:line="252" w:lineRule="auto"/>
            </w:pPr>
            <w:r>
              <w:rPr>
                <w:rFonts w:ascii="Aptos" w:eastAsia="Aptos" w:hAnsi="Aptos"/>
                <w:color w:val="4F5D78"/>
                <w:sz w:val="19"/>
              </w:rPr>
              <w:t>Use depends on whether hospitals believe launch-period losses are containable.</w:t>
            </w:r>
          </w:p>
        </w:tc>
        <w:tc>
          <w:tcPr>
            <w:tcW w:w="4824" w:type="dxa"/>
            <w:tcBorders>
              <w:top w:val="single" w:sz="6" w:space="0" w:color="D5DFED"/>
              <w:left w:val="single" w:sz="6" w:space="0" w:color="D5DFED"/>
              <w:bottom w:val="single" w:sz="6" w:space="0" w:color="D5DFED"/>
              <w:right w:val="single" w:sz="6" w:space="0" w:color="D5DFED"/>
            </w:tcBorders>
            <w:vAlign w:val="center"/>
          </w:tcPr>
          <w:p w14:paraId="24E5A972" w14:textId="77777777" w:rsidR="00C37EED" w:rsidRDefault="00000000">
            <w:pPr>
              <w:spacing w:line="252" w:lineRule="auto"/>
            </w:pPr>
            <w:r>
              <w:rPr>
                <w:rFonts w:ascii="Aptos" w:eastAsia="Aptos" w:hAnsi="Aptos"/>
                <w:color w:val="4F5D78"/>
                <w:sz w:val="19"/>
              </w:rPr>
              <w:t>NTAP becomes important because Product X shifts from absorbable add-on to reimbursement-sensitive therapy.</w:t>
            </w:r>
          </w:p>
        </w:tc>
      </w:tr>
      <w:tr w:rsidR="00C37EED" w14:paraId="7956D655"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2EEC5A5" w14:textId="77777777" w:rsidR="00C37EED" w:rsidRDefault="00000000">
            <w:pPr>
              <w:spacing w:line="252" w:lineRule="auto"/>
            </w:pPr>
            <w:r>
              <w:rPr>
                <w:rFonts w:ascii="Aptos" w:eastAsia="Aptos" w:hAnsi="Aptos"/>
                <w:color w:val="4F5D78"/>
                <w:sz w:val="19"/>
              </w:rPr>
              <w:t>$50K or more</w:t>
            </w:r>
          </w:p>
        </w:tc>
        <w:tc>
          <w:tcPr>
            <w:tcW w:w="3096"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D2100DB" w14:textId="77777777" w:rsidR="00C37EED" w:rsidRDefault="00000000">
            <w:pPr>
              <w:spacing w:line="252" w:lineRule="auto"/>
            </w:pPr>
            <w:r>
              <w:rPr>
                <w:rFonts w:ascii="Aptos" w:eastAsia="Aptos" w:hAnsi="Aptos"/>
                <w:color w:val="4F5D78"/>
                <w:sz w:val="19"/>
              </w:rPr>
              <w:t>Adoption is likely to stay narrow and committee-driven unless payment changes materially.</w:t>
            </w:r>
          </w:p>
        </w:tc>
        <w:tc>
          <w:tcPr>
            <w:tcW w:w="4824"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62A8C58" w14:textId="77777777" w:rsidR="00C37EED" w:rsidRDefault="00000000">
            <w:pPr>
              <w:spacing w:line="252" w:lineRule="auto"/>
            </w:pPr>
            <w:r>
              <w:rPr>
                <w:rFonts w:ascii="Aptos" w:eastAsia="Aptos" w:hAnsi="Aptos"/>
                <w:color w:val="4F5D78"/>
                <w:sz w:val="19"/>
              </w:rPr>
              <w:t>Permanent DRG change or another structural payment solution becomes necessary; clinical demand alone is unlikely to overcome the gap.</w:t>
            </w:r>
          </w:p>
        </w:tc>
      </w:tr>
    </w:tbl>
    <w:p w14:paraId="13697294" w14:textId="77777777" w:rsidR="00C37EED" w:rsidRDefault="00000000">
      <w:pPr>
        <w:spacing w:after="160"/>
      </w:pPr>
      <w:r>
        <w:rPr>
          <w:rFonts w:ascii="Aptos" w:eastAsia="Aptos" w:hAnsi="Aptos"/>
          <w:color w:val="4F5D78"/>
          <w:sz w:val="21"/>
        </w:rPr>
        <w:t>The practical inflection point remains the transition from absorbable cost to reimbursement-dependent use. For Product X, that transition still appears to sit roughly in the $25,000 to $35,000 range, but the key correction is that NTAP does not eliminate access friction. It merely reduces launch-period exposure while hospitals continue to assess workflow burden, pharmacy handling, ICU staffing impact, and whether the evidence package is strong enough to justify protocolized use [1, 2, 6].</w:t>
      </w:r>
    </w:p>
    <w:p w14:paraId="4F5D6504" w14:textId="77777777" w:rsidR="00C37EED" w:rsidRDefault="00000000">
      <w:pPr>
        <w:spacing w:before="200" w:after="80"/>
      </w:pPr>
      <w:r>
        <w:rPr>
          <w:rFonts w:ascii="Georgia" w:eastAsia="Georgia" w:hAnsi="Georgia"/>
          <w:b/>
          <w:color w:val="0F1A30"/>
          <w:sz w:val="24"/>
        </w:rPr>
        <w:t>0.6 DRG Recalibration and Permanent Payment Alignment</w:t>
      </w:r>
    </w:p>
    <w:p w14:paraId="4CF92EB5" w14:textId="77777777" w:rsidR="00C37EED" w:rsidRDefault="00000000">
      <w:pPr>
        <w:spacing w:after="160"/>
      </w:pPr>
      <w:r>
        <w:rPr>
          <w:rFonts w:ascii="Aptos" w:eastAsia="Aptos" w:hAnsi="Aptos"/>
          <w:color w:val="4F5D78"/>
          <w:sz w:val="21"/>
        </w:rPr>
        <w:t>Permanent payment alignment depends on claims-based recognition, not sponsor expectation. CMS explains that MS-DRG payment weights are recalibrated each year through rulemaking, and the agency's inpatient methodology materials describe MEDPAR as 100% final-action Medicare fee-for-service inpatient claims data [16, 17]. CMS's recent FY 2025 and FY 2026 IPPS materials also show the agency using prior-year MEDPAR data in annual payment policy calculations, which underscores that reimbursement change follows coded utilization with a built-in lag rather than moving in real time with FDA events [12, 13, 16, 17].</w:t>
      </w:r>
    </w:p>
    <w:p w14:paraId="0E81B0F2" w14:textId="77777777" w:rsidR="00C37EED" w:rsidRDefault="00000000">
      <w:pPr>
        <w:spacing w:after="160"/>
      </w:pPr>
      <w:r>
        <w:rPr>
          <w:rFonts w:ascii="Aptos" w:eastAsia="Aptos" w:hAnsi="Aptos"/>
          <w:color w:val="4F5D78"/>
          <w:sz w:val="21"/>
        </w:rPr>
        <w:t>CMS does not publish a single numeric case-volume threshold that guarantees a DRG split or reweighting for a new therapy. Instead, the agency reviews MS-DRGs annually and may refine assignments when clinically similar case subsets show significantly different resource use [17]. For Product X, that means the path to a permanent payment change depends on enough coded claims volume, cost separation, and clinical coherence to register in MedPAR and survive annual rulemaking scrutiny. In practice, that usually means multiple years of observable claims experience rather than an immediate post-launch DRG update [13, 16, 17].</w:t>
      </w:r>
    </w:p>
    <w:p w14:paraId="206DE991" w14:textId="77777777" w:rsidR="00C37EED" w:rsidRDefault="00000000">
      <w:pPr>
        <w:spacing w:before="200" w:after="80"/>
      </w:pPr>
      <w:r>
        <w:rPr>
          <w:rFonts w:ascii="Georgia" w:eastAsia="Georgia" w:hAnsi="Georgia"/>
          <w:b/>
          <w:color w:val="0F1A30"/>
          <w:sz w:val="24"/>
        </w:rPr>
        <w:t>0.7 Reality Check: Sponsor Assumptions vs Market Reality</w:t>
      </w:r>
    </w:p>
    <w:p w14:paraId="33A61540" w14:textId="77777777" w:rsidR="00C37EED" w:rsidRDefault="00000000">
      <w:pPr>
        <w:spacing w:after="160"/>
      </w:pPr>
      <w:r>
        <w:rPr>
          <w:rFonts w:ascii="Aptos" w:eastAsia="Aptos" w:hAnsi="Aptos"/>
          <w:color w:val="4F5D78"/>
          <w:sz w:val="21"/>
        </w:rPr>
        <w:t>The reimbursement story should therefore be reset away from automatic-access language. There is no automatic inpatient payment milestone that makes Product X broadly available within a fixed number of months, and there is no separate line-item payment path that makes hospitals indifferent to launch economics. Hospitals decide whether to use Product X inside existing payment constraints, and those decisions are shaped by coding clarity, NTAP status, local committee review, and the operational burden of a 48-hour ICU infusion [1, 6, 17].</w:t>
      </w:r>
    </w:p>
    <w:tbl>
      <w:tblPr>
        <w:tblStyle w:val="TableGrid"/>
        <w:tblW w:w="0" w:type="auto"/>
        <w:jc w:val="center"/>
        <w:tblLayout w:type="fixed"/>
        <w:tblLook w:val="04A0" w:firstRow="1" w:lastRow="0" w:firstColumn="1" w:lastColumn="0" w:noHBand="0" w:noVBand="1"/>
      </w:tblPr>
      <w:tblGrid>
        <w:gridCol w:w="2952"/>
        <w:gridCol w:w="6408"/>
      </w:tblGrid>
      <w:tr w:rsidR="00C37EED" w14:paraId="10DFD90B" w14:textId="77777777">
        <w:trPr>
          <w:jc w:val="center"/>
        </w:trPr>
        <w:tc>
          <w:tcPr>
            <w:tcW w:w="2952"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058A0D39" w14:textId="77777777" w:rsidR="00C37EED" w:rsidRDefault="00000000">
            <w:r>
              <w:rPr>
                <w:rFonts w:ascii="Aptos" w:eastAsia="Aptos" w:hAnsi="Aptos"/>
                <w:b/>
                <w:color w:val="0F1A30"/>
                <w:sz w:val="19"/>
              </w:rPr>
              <w:t>Sponsor assumption</w:t>
            </w:r>
          </w:p>
        </w:tc>
        <w:tc>
          <w:tcPr>
            <w:tcW w:w="640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1C29F670" w14:textId="77777777" w:rsidR="00C37EED" w:rsidRDefault="00000000">
            <w:r>
              <w:rPr>
                <w:rFonts w:ascii="Aptos" w:eastAsia="Aptos" w:hAnsi="Aptos"/>
                <w:b/>
                <w:color w:val="0F1A30"/>
                <w:sz w:val="19"/>
              </w:rPr>
              <w:t>Market reality</w:t>
            </w:r>
          </w:p>
        </w:tc>
      </w:tr>
      <w:tr w:rsidR="00C37EED" w14:paraId="24229B62" w14:textId="77777777">
        <w:trPr>
          <w:jc w:val="center"/>
        </w:trPr>
        <w:tc>
          <w:tcPr>
            <w:tcW w:w="2952"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69630DE" w14:textId="77777777" w:rsidR="00C37EED" w:rsidRDefault="00000000">
            <w:pPr>
              <w:spacing w:line="252" w:lineRule="auto"/>
            </w:pPr>
            <w:r>
              <w:rPr>
                <w:rFonts w:ascii="Aptos" w:eastAsia="Aptos" w:hAnsi="Aptos"/>
                <w:color w:val="4F5D78"/>
                <w:sz w:val="19"/>
              </w:rPr>
              <w:t>Automatic coverage within 6 months</w:t>
            </w:r>
          </w:p>
        </w:tc>
        <w:tc>
          <w:tcPr>
            <w:tcW w:w="640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ADDA57D" w14:textId="77777777" w:rsidR="00C37EED" w:rsidRDefault="00000000">
            <w:pPr>
              <w:spacing w:line="252" w:lineRule="auto"/>
            </w:pPr>
            <w:r>
              <w:rPr>
                <w:rFonts w:ascii="Aptos" w:eastAsia="Aptos" w:hAnsi="Aptos"/>
                <w:color w:val="4F5D78"/>
                <w:sz w:val="19"/>
              </w:rPr>
              <w:t>No automatic inpatient payment pathway exists; hospitals would still make use decisions under bundled MS-DRG economics.</w:t>
            </w:r>
          </w:p>
        </w:tc>
      </w:tr>
      <w:tr w:rsidR="00C37EED" w14:paraId="3AD29DEC" w14:textId="77777777">
        <w:trPr>
          <w:jc w:val="center"/>
        </w:trPr>
        <w:tc>
          <w:tcPr>
            <w:tcW w:w="2952" w:type="dxa"/>
            <w:tcBorders>
              <w:top w:val="single" w:sz="6" w:space="0" w:color="D5DFED"/>
              <w:left w:val="single" w:sz="6" w:space="0" w:color="D5DFED"/>
              <w:bottom w:val="single" w:sz="6" w:space="0" w:color="D5DFED"/>
              <w:right w:val="single" w:sz="6" w:space="0" w:color="D5DFED"/>
            </w:tcBorders>
            <w:vAlign w:val="center"/>
          </w:tcPr>
          <w:p w14:paraId="5EAFB286" w14:textId="77777777" w:rsidR="00C37EED" w:rsidRDefault="00000000">
            <w:pPr>
              <w:spacing w:line="252" w:lineRule="auto"/>
            </w:pPr>
            <w:r>
              <w:rPr>
                <w:rFonts w:ascii="Aptos" w:eastAsia="Aptos" w:hAnsi="Aptos"/>
                <w:color w:val="4F5D78"/>
                <w:sz w:val="19"/>
              </w:rPr>
              <w:t>Seamless formulary access</w:t>
            </w:r>
          </w:p>
        </w:tc>
        <w:tc>
          <w:tcPr>
            <w:tcW w:w="6408" w:type="dxa"/>
            <w:tcBorders>
              <w:top w:val="single" w:sz="6" w:space="0" w:color="D5DFED"/>
              <w:left w:val="single" w:sz="6" w:space="0" w:color="D5DFED"/>
              <w:bottom w:val="single" w:sz="6" w:space="0" w:color="D5DFED"/>
              <w:right w:val="single" w:sz="6" w:space="0" w:color="D5DFED"/>
            </w:tcBorders>
            <w:vAlign w:val="center"/>
          </w:tcPr>
          <w:p w14:paraId="1560BA2A" w14:textId="77777777" w:rsidR="00C37EED" w:rsidRDefault="00000000">
            <w:pPr>
              <w:spacing w:line="252" w:lineRule="auto"/>
            </w:pPr>
            <w:r>
              <w:rPr>
                <w:rFonts w:ascii="Aptos" w:eastAsia="Aptos" w:hAnsi="Aptos"/>
                <w:color w:val="4F5D78"/>
                <w:sz w:val="19"/>
              </w:rPr>
              <w:t>Formulary and value-analysis review still apply, and the 48-hour ICU infusion adds nursing and pharmacy friction rather than removing it.</w:t>
            </w:r>
          </w:p>
        </w:tc>
      </w:tr>
      <w:tr w:rsidR="00C37EED" w14:paraId="5CC812F5" w14:textId="77777777">
        <w:trPr>
          <w:jc w:val="center"/>
        </w:trPr>
        <w:tc>
          <w:tcPr>
            <w:tcW w:w="2952"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3D013735" w14:textId="77777777" w:rsidR="00C37EED" w:rsidRDefault="00000000">
            <w:pPr>
              <w:spacing w:line="252" w:lineRule="auto"/>
            </w:pPr>
            <w:r>
              <w:rPr>
                <w:rFonts w:ascii="Aptos" w:eastAsia="Aptos" w:hAnsi="Aptos"/>
                <w:color w:val="4F5D78"/>
                <w:sz w:val="19"/>
              </w:rPr>
              <w:t>Clear path to DRG updates</w:t>
            </w:r>
          </w:p>
        </w:tc>
        <w:tc>
          <w:tcPr>
            <w:tcW w:w="640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2AFC93D" w14:textId="77777777" w:rsidR="00C37EED" w:rsidRDefault="00000000">
            <w:pPr>
              <w:spacing w:line="252" w:lineRule="auto"/>
            </w:pPr>
            <w:r>
              <w:rPr>
                <w:rFonts w:ascii="Aptos" w:eastAsia="Aptos" w:hAnsi="Aptos"/>
                <w:color w:val="4F5D78"/>
                <w:sz w:val="19"/>
              </w:rPr>
              <w:t>DRG change requires coded claims, annual CMS rulemaking, and enough observable resource differentiation to justify payment reform.</w:t>
            </w:r>
          </w:p>
        </w:tc>
      </w:tr>
      <w:tr w:rsidR="00C37EED" w14:paraId="1FEC05CB" w14:textId="77777777">
        <w:trPr>
          <w:jc w:val="center"/>
        </w:trPr>
        <w:tc>
          <w:tcPr>
            <w:tcW w:w="2952" w:type="dxa"/>
            <w:tcBorders>
              <w:top w:val="single" w:sz="6" w:space="0" w:color="D5DFED"/>
              <w:left w:val="single" w:sz="6" w:space="0" w:color="D5DFED"/>
              <w:bottom w:val="single" w:sz="6" w:space="0" w:color="D5DFED"/>
              <w:right w:val="single" w:sz="6" w:space="0" w:color="D5DFED"/>
            </w:tcBorders>
            <w:vAlign w:val="center"/>
          </w:tcPr>
          <w:p w14:paraId="028C2D21" w14:textId="77777777" w:rsidR="00C37EED" w:rsidRDefault="00000000">
            <w:pPr>
              <w:spacing w:line="252" w:lineRule="auto"/>
            </w:pPr>
            <w:r>
              <w:rPr>
                <w:rFonts w:ascii="Aptos" w:eastAsia="Aptos" w:hAnsi="Aptos"/>
                <w:color w:val="4F5D78"/>
                <w:sz w:val="19"/>
              </w:rPr>
              <w:t>NTAP is likely once the product is approved</w:t>
            </w:r>
          </w:p>
        </w:tc>
        <w:tc>
          <w:tcPr>
            <w:tcW w:w="6408" w:type="dxa"/>
            <w:tcBorders>
              <w:top w:val="single" w:sz="6" w:space="0" w:color="D5DFED"/>
              <w:left w:val="single" w:sz="6" w:space="0" w:color="D5DFED"/>
              <w:bottom w:val="single" w:sz="6" w:space="0" w:color="D5DFED"/>
              <w:right w:val="single" w:sz="6" w:space="0" w:color="D5DFED"/>
            </w:tcBorders>
            <w:vAlign w:val="center"/>
          </w:tcPr>
          <w:p w14:paraId="56AC0296" w14:textId="77777777" w:rsidR="00C37EED" w:rsidRDefault="00000000">
            <w:pPr>
              <w:spacing w:line="252" w:lineRule="auto"/>
            </w:pPr>
            <w:r>
              <w:rPr>
                <w:rFonts w:ascii="Aptos" w:eastAsia="Aptos" w:hAnsi="Aptos"/>
                <w:color w:val="4F5D78"/>
                <w:sz w:val="19"/>
              </w:rPr>
              <w:t>NTAP remains a competitive, time-sensitive application process and not every eligible submission is approved.</w:t>
            </w:r>
          </w:p>
        </w:tc>
      </w:tr>
    </w:tbl>
    <w:p w14:paraId="3CA70A4C" w14:textId="77777777" w:rsidR="00C37EED" w:rsidRDefault="00000000">
      <w:pPr>
        <w:spacing w:after="160"/>
      </w:pPr>
      <w:r>
        <w:rPr>
          <w:rFonts w:ascii="Aptos" w:eastAsia="Aptos" w:hAnsi="Aptos"/>
          <w:color w:val="4F5D78"/>
          <w:sz w:val="21"/>
        </w:rPr>
        <w:t>The correct strategic posture is that Product X may be clinically compelling, but reimbursement at launch requires synchronized coding, evidence, and timing work before approval, disciplined hospital economics at launch, and several years of coded claims experience before permanent payment alignment becomes realistic. That is a constrained reimbursement system, not a predictable adoption pathway [2, 6, 9, 13, 16, 17].</w:t>
      </w:r>
    </w:p>
    <w:p w14:paraId="6F42DF5F" w14:textId="77777777" w:rsidR="00C37EED" w:rsidRDefault="00000000">
      <w:pPr>
        <w:spacing w:before="320" w:after="120"/>
      </w:pPr>
      <w:r>
        <w:rPr>
          <w:rFonts w:ascii="Georgia" w:eastAsia="Georgia" w:hAnsi="Georgia"/>
          <w:b/>
          <w:color w:val="1C3F92"/>
          <w:sz w:val="30"/>
        </w:rPr>
        <w:t>Section I. Background and Decision-Making Context</w:t>
      </w:r>
    </w:p>
    <w:p w14:paraId="73803093" w14:textId="77777777" w:rsidR="00C37EED" w:rsidRDefault="00000000">
      <w:pPr>
        <w:spacing w:before="160" w:after="100"/>
      </w:pPr>
      <w:r>
        <w:rPr>
          <w:rFonts w:ascii="Georgia" w:eastAsia="Georgia" w:hAnsi="Georgia"/>
          <w:b/>
          <w:color w:val="0F1A30"/>
        </w:rPr>
        <w:t>How do you evaluate unmet need in the treatment of large vessel occlusion ischemic stroke?</w:t>
      </w:r>
    </w:p>
    <w:p w14:paraId="17D47B5B" w14:textId="77777777" w:rsidR="00C37EED" w:rsidRDefault="00000000">
      <w:pPr>
        <w:spacing w:after="160"/>
      </w:pPr>
      <w:r>
        <w:rPr>
          <w:rFonts w:ascii="Aptos" w:eastAsia="Aptos" w:hAnsi="Aptos"/>
          <w:color w:val="4F5D78"/>
          <w:sz w:val="21"/>
        </w:rPr>
        <w:t>Large vessel occlusion stroke remains a high-severity event even when endovascular thrombectomy (EVT) is technically successful. In the CLEAR cohort, 50.9% of successfully reperfused patients still had an mRS of 3-6 at 90 days and 17.8% died, which shows that reperfusion alone does not guarantee meaningful recovery [3].</w:t>
      </w:r>
    </w:p>
    <w:p w14:paraId="4D8D0097" w14:textId="77777777" w:rsidR="00C37EED" w:rsidRDefault="00000000">
      <w:pPr>
        <w:spacing w:after="160"/>
      </w:pPr>
      <w:r>
        <w:rPr>
          <w:rFonts w:ascii="Aptos" w:eastAsia="Aptos" w:hAnsi="Aptos"/>
          <w:color w:val="4F5D78"/>
          <w:sz w:val="21"/>
        </w:rPr>
        <w:t>That is the core unmet need: EVT improves access to reperfusion, but post-reperfusion recovery remains inconsistent and resource-intensive. There is still no established adjunctive post-EVT therapy that reliably improves functional independence, reduces length of stay, or increases discharge-to-home [1, 2].</w:t>
      </w:r>
    </w:p>
    <w:p w14:paraId="355C72FA" w14:textId="77777777" w:rsidR="00C37EED" w:rsidRDefault="00000000">
      <w:pPr>
        <w:spacing w:after="160"/>
      </w:pPr>
      <w:r>
        <w:rPr>
          <w:rFonts w:ascii="Aptos" w:eastAsia="Aptos" w:hAnsi="Aptos"/>
          <w:color w:val="4F5D78"/>
          <w:sz w:val="21"/>
        </w:rPr>
        <w:t>For payer and hospital stakeholders, the clinically relevant unmet need is therefore recovery after EVT, not simply recanalization. A therapy that safely improves post-EVT recovery would matter because it could move both patient outcomes and downstream utilization.</w:t>
      </w:r>
    </w:p>
    <w:p w14:paraId="36B3BDA8" w14:textId="77777777" w:rsidR="00C37EED" w:rsidRDefault="00000000">
      <w:pPr>
        <w:spacing w:before="160" w:after="100"/>
      </w:pPr>
      <w:r>
        <w:rPr>
          <w:rFonts w:ascii="Georgia" w:eastAsia="Georgia" w:hAnsi="Georgia"/>
          <w:b/>
          <w:color w:val="0F1A30"/>
        </w:rPr>
        <w:t>On the medical benefit, how much does a patient suffering from a large vessel occlusion ischemic stroke with post-endovascular thrombectomy cost?</w:t>
      </w:r>
    </w:p>
    <w:p w14:paraId="287FB1E5" w14:textId="77777777" w:rsidR="00C37EED" w:rsidRDefault="00000000">
      <w:pPr>
        <w:spacing w:after="160"/>
      </w:pPr>
      <w:r>
        <w:rPr>
          <w:rFonts w:ascii="Aptos" w:eastAsia="Aptos" w:hAnsi="Aptos"/>
          <w:color w:val="4F5D78"/>
          <w:sz w:val="21"/>
        </w:rPr>
        <w:t>These admissions are expensive under both Medicare and commercial coverage, but the exact economics depend heavily on severity, complications, discharge status, and local contracting. Sponsor materials frame the current inpatient reimbursement envelope for EVT cases at roughly $25,000-$50,000 under Medicare MS-DRGs, with commercial allowed amounts often higher [2].</w:t>
      </w:r>
    </w:p>
    <w:p w14:paraId="45D86C31" w14:textId="77777777" w:rsidR="00C37EED" w:rsidRDefault="00000000">
      <w:pPr>
        <w:spacing w:after="160"/>
      </w:pPr>
      <w:r>
        <w:rPr>
          <w:rFonts w:ascii="Aptos" w:eastAsia="Aptos" w:hAnsi="Aptos"/>
          <w:color w:val="4F5D78"/>
          <w:sz w:val="21"/>
        </w:rPr>
        <w:t>Public U.S. claims data show how sharply costs rise when patients leave the hospital with disability or die. Mean index-hospitalization costs were approximately $24,448 for patients discharged without disability, versus $68,370-$73,903 for patients who died or were discharged with disability [4].</w:t>
      </w:r>
    </w:p>
    <w:p w14:paraId="1ABB7104" w14:textId="77777777" w:rsidR="00C37EED" w:rsidRDefault="00000000">
      <w:pPr>
        <w:spacing w:after="160"/>
      </w:pPr>
      <w:r>
        <w:rPr>
          <w:rFonts w:ascii="Aptos" w:eastAsia="Aptos" w:hAnsi="Aptos"/>
          <w:color w:val="4F5D78"/>
          <w:sz w:val="21"/>
        </w:rPr>
        <w:t>For discussion purposes, it is reasonable to describe the acute hospital episode as a roughly $25,000-$75,000 event, with the upper end driven by ICU intensity, complications, and non-home discharge.</w:t>
      </w:r>
    </w:p>
    <w:p w14:paraId="23EB586F" w14:textId="77777777" w:rsidR="00C37EED" w:rsidRDefault="00000000">
      <w:pPr>
        <w:spacing w:before="160" w:after="100"/>
      </w:pPr>
      <w:r>
        <w:rPr>
          <w:rFonts w:ascii="Georgia" w:eastAsia="Georgia" w:hAnsi="Georgia"/>
          <w:b/>
          <w:color w:val="0F1A30"/>
        </w:rPr>
        <w:t>How many days does a patient who suffered from large vessel occlusion ischemic stroke and had an EVT typically stay in the hospital, ICU, and neuro-ICU?</w:t>
      </w:r>
    </w:p>
    <w:p w14:paraId="16AC53B9" w14:textId="77777777" w:rsidR="00C37EED" w:rsidRDefault="00000000">
      <w:pPr>
        <w:spacing w:after="160"/>
      </w:pPr>
      <w:r>
        <w:rPr>
          <w:rFonts w:ascii="Aptos" w:eastAsia="Aptos" w:hAnsi="Aptos"/>
          <w:color w:val="4F5D78"/>
          <w:sz w:val="21"/>
        </w:rPr>
        <w:t>A practical planning benchmark is roughly 6-8 total hospital days and 2-4 ICU or neuro-ICU days, recognizing that the range widens quickly when recovery is delayed or complications occur [1, 2].</w:t>
      </w:r>
    </w:p>
    <w:p w14:paraId="6C1498ED" w14:textId="77777777" w:rsidR="00C37EED" w:rsidRDefault="00000000">
      <w:pPr>
        <w:spacing w:after="160"/>
      </w:pPr>
      <w:r>
        <w:rPr>
          <w:rFonts w:ascii="Aptos" w:eastAsia="Aptos" w:hAnsi="Aptos"/>
          <w:color w:val="4F5D78"/>
          <w:sz w:val="21"/>
        </w:rPr>
        <w:t>Published EVT data support the view that utilization is highly outcome-dependent. In one trial-based economic analysis, thrombectomy patients had a median acute hospital stay of 5 days versus 8 days for controls, with additional downstream differences in rehabilitation use [5].</w:t>
      </w:r>
    </w:p>
    <w:p w14:paraId="6D3BA931" w14:textId="77777777" w:rsidR="00C37EED" w:rsidRDefault="00000000">
      <w:pPr>
        <w:spacing w:after="160"/>
      </w:pPr>
      <w:r>
        <w:rPr>
          <w:rFonts w:ascii="Aptos" w:eastAsia="Aptos" w:hAnsi="Aptos"/>
          <w:color w:val="4F5D78"/>
          <w:sz w:val="21"/>
        </w:rPr>
        <w:t>More recent registry data define ICU stay beyond 48 hours as prolonged and found that 39.2% of post-thrombectomy patients crossed that threshold, reinforcing that multi-day ICU use is common in higher-acuity patients [7].</w:t>
      </w:r>
    </w:p>
    <w:p w14:paraId="24D6A8A0" w14:textId="77777777" w:rsidR="00C37EED" w:rsidRDefault="00000000">
      <w:pPr>
        <w:spacing w:before="320" w:after="120"/>
      </w:pPr>
      <w:r>
        <w:rPr>
          <w:rFonts w:ascii="Georgia" w:eastAsia="Georgia" w:hAnsi="Georgia"/>
          <w:b/>
          <w:color w:val="1C3F92"/>
          <w:sz w:val="30"/>
        </w:rPr>
        <w:t>Section II. Hypothetical Product Profile Reaction</w:t>
      </w:r>
    </w:p>
    <w:p w14:paraId="5A0FC449" w14:textId="77777777" w:rsidR="00C37EED" w:rsidRDefault="00000000">
      <w:pPr>
        <w:spacing w:before="160" w:after="100"/>
      </w:pPr>
      <w:r>
        <w:rPr>
          <w:rFonts w:ascii="Georgia" w:eastAsia="Georgia" w:hAnsi="Georgia"/>
          <w:b/>
          <w:color w:val="0F1A30"/>
        </w:rPr>
        <w:t>What is your view on the efficacy, outcomes, safety, and administration of Product X?</w:t>
      </w:r>
    </w:p>
    <w:p w14:paraId="29EA0D45" w14:textId="77777777" w:rsidR="00C37EED" w:rsidRDefault="00000000">
      <w:pPr>
        <w:spacing w:after="160"/>
      </w:pPr>
      <w:r>
        <w:rPr>
          <w:rFonts w:ascii="Aptos" w:eastAsia="Aptos" w:hAnsi="Aptos"/>
          <w:color w:val="4F5D78"/>
          <w:sz w:val="21"/>
        </w:rPr>
        <w:t>On balance, Product X presents as clinically attractive with a clear operational tradeoff. The sponsor TPP describes directional improvement across mRS, Barthel Index, NIHSS, mortality, infarct growth, hospital length of stay, and discharge-to-home, with no major serious adverse event imbalance apart from transient headache [1].</w:t>
      </w:r>
    </w:p>
    <w:p w14:paraId="130BE75C" w14:textId="77777777" w:rsidR="00C37EED" w:rsidRDefault="00000000">
      <w:pPr>
        <w:spacing w:after="160"/>
      </w:pPr>
      <w:r>
        <w:rPr>
          <w:rFonts w:ascii="Aptos" w:eastAsia="Aptos" w:hAnsi="Aptos"/>
          <w:color w:val="4F5D78"/>
          <w:sz w:val="21"/>
        </w:rPr>
        <w:t>The strongest access argument is outcomes, not efficacy in a narrow statistical sense. If Phase 3 reproduces materially better functional independence and lower utilization after EVT, hospitals and payers will view Product X as clinically meaningful because it changes discharge disposition and total episode cost, not merely an imaging endpoint [2, 6].</w:t>
      </w:r>
    </w:p>
    <w:p w14:paraId="4AB77F5A" w14:textId="77777777" w:rsidR="00C37EED" w:rsidRDefault="00000000">
      <w:pPr>
        <w:spacing w:after="160"/>
      </w:pPr>
      <w:r>
        <w:rPr>
          <w:rFonts w:ascii="Aptos" w:eastAsia="Aptos" w:hAnsi="Aptos"/>
          <w:color w:val="4F5D78"/>
          <w:sz w:val="21"/>
        </w:rPr>
        <w:t>Administration is the main drawback. A 48-hour, weight-based infusion with bag changes every 6-8 hours adds nursing, pharmacy, and ICU workflow complexity. In practical terms, the profile reads as strong on efficacy and outcomes, acceptable on safety, and below current practice on operational simplicity.</w:t>
      </w:r>
    </w:p>
    <w:p w14:paraId="7C9D6BBF" w14:textId="77777777" w:rsidR="00C37EED" w:rsidRDefault="00000000">
      <w:pPr>
        <w:spacing w:before="160" w:after="100"/>
      </w:pPr>
      <w:r>
        <w:rPr>
          <w:rFonts w:ascii="Georgia" w:eastAsia="Georgia" w:hAnsi="Georgia"/>
          <w:b/>
          <w:color w:val="0F1A30"/>
        </w:rPr>
        <w:t>What is your view on the 48-hour infusion?</w:t>
      </w:r>
    </w:p>
    <w:p w14:paraId="3E3B663D" w14:textId="77777777" w:rsidR="00C37EED" w:rsidRDefault="00000000">
      <w:pPr>
        <w:spacing w:after="160"/>
      </w:pPr>
      <w:r>
        <w:rPr>
          <w:rFonts w:ascii="Aptos" w:eastAsia="Aptos" w:hAnsi="Aptos"/>
          <w:color w:val="4F5D78"/>
          <w:sz w:val="21"/>
        </w:rPr>
        <w:t>Operationally, the 48-hour infusion is manageable but not operationally simple. It fits the early post-EVT window, when patients already require close neurologic monitoring, but it changes care from largely supportive observation to a protocolized infusion workflow with repeated bag changes and pharmacy coordination [1].</w:t>
      </w:r>
    </w:p>
    <w:p w14:paraId="07CE0290" w14:textId="77777777" w:rsidR="00C37EED" w:rsidRDefault="00000000">
      <w:pPr>
        <w:spacing w:after="160"/>
      </w:pPr>
      <w:r>
        <w:rPr>
          <w:rFonts w:ascii="Aptos" w:eastAsia="Aptos" w:hAnsi="Aptos"/>
          <w:color w:val="4F5D78"/>
          <w:sz w:val="21"/>
        </w:rPr>
        <w:t>That operational burden is real, but it is not purely negative. A prolonged infusion creates a visible resource-use signal, which establishes coding clarity and a stronger NTAP narrative if the clinical dataset shows substantial clinical improvement [2, 6].</w:t>
      </w:r>
    </w:p>
    <w:p w14:paraId="0544FDF9" w14:textId="77777777" w:rsidR="00C37EED" w:rsidRDefault="00000000">
      <w:pPr>
        <w:spacing w:before="160" w:after="100"/>
      </w:pPr>
      <w:r>
        <w:rPr>
          <w:rFonts w:ascii="Georgia" w:eastAsia="Georgia" w:hAnsi="Georgia"/>
          <w:b/>
          <w:color w:val="0F1A30"/>
        </w:rPr>
        <w:t>Would you anticipate the IV to be given in the ICU unit?</w:t>
      </w:r>
    </w:p>
    <w:p w14:paraId="42CFDAA7" w14:textId="77777777" w:rsidR="00C37EED" w:rsidRDefault="00000000">
      <w:pPr>
        <w:spacing w:after="160"/>
      </w:pPr>
      <w:r>
        <w:rPr>
          <w:rFonts w:ascii="Aptos" w:eastAsia="Aptos" w:hAnsi="Aptos"/>
          <w:color w:val="4F5D78"/>
          <w:sz w:val="21"/>
        </w:rPr>
        <w:t>Yes. ICU or neuro-ICU is the most realistic initial site of care. Post-EVT patients already undergo frequent neurologic checks and hemodynamic monitoring, and Product X's 48-hour infusion reinforces that placement rather than changing it [1, 7].</w:t>
      </w:r>
    </w:p>
    <w:p w14:paraId="3B03FE0D" w14:textId="77777777" w:rsidR="00C37EED" w:rsidRDefault="00000000">
      <w:pPr>
        <w:spacing w:after="160"/>
      </w:pPr>
      <w:r>
        <w:rPr>
          <w:rFonts w:ascii="Aptos" w:eastAsia="Aptos" w:hAnsi="Aptos"/>
          <w:color w:val="4F5D78"/>
          <w:sz w:val="21"/>
        </w:rPr>
        <w:t>Lower-acuity patients may still transfer out sooner if they stabilize quickly, but the launch assumption should be ICU-based initiation with site-level flexibility after the first 24-48 hours.</w:t>
      </w:r>
    </w:p>
    <w:p w14:paraId="23361A35" w14:textId="77777777" w:rsidR="00C37EED" w:rsidRDefault="00000000">
      <w:pPr>
        <w:spacing w:before="160" w:after="100"/>
      </w:pPr>
      <w:r>
        <w:rPr>
          <w:rFonts w:ascii="Georgia" w:eastAsia="Georgia" w:hAnsi="Georgia"/>
          <w:b/>
          <w:color w:val="0F1A30"/>
        </w:rPr>
        <w:t>How do you anticipate Product X reducing the number of hospital days and/or ICU days?</w:t>
      </w:r>
    </w:p>
    <w:p w14:paraId="6D9822CA" w14:textId="77777777" w:rsidR="00C37EED" w:rsidRDefault="00000000">
      <w:pPr>
        <w:spacing w:after="160"/>
      </w:pPr>
      <w:r>
        <w:rPr>
          <w:rFonts w:ascii="Aptos" w:eastAsia="Aptos" w:hAnsi="Aptos"/>
          <w:color w:val="4F5D78"/>
          <w:sz w:val="21"/>
        </w:rPr>
        <w:t>Product X would need to reduce utilization by changing the biologic recovery curve, not by creating an administrative shortcut. The sponsor hypothesis is that less infarct expansion and better early neurologic recovery would translate into fewer complications, faster step-down from ICU, and earlier discharge [1].</w:t>
      </w:r>
    </w:p>
    <w:p w14:paraId="007BA0CA" w14:textId="77777777" w:rsidR="00C37EED" w:rsidRDefault="00000000">
      <w:pPr>
        <w:spacing w:after="160"/>
      </w:pPr>
      <w:r>
        <w:rPr>
          <w:rFonts w:ascii="Aptos" w:eastAsia="Aptos" w:hAnsi="Aptos"/>
          <w:color w:val="4F5D78"/>
          <w:sz w:val="21"/>
        </w:rPr>
        <w:t>The key economic signal in the current materials is 3-5 fewer hospital days and more patients discharged home. That mechanism is credible if Phase 3 confirms a real functional benefit; it is much less compelling if the observed effect is limited to biomarkers without a corresponding change in 90-day outcomes [1, 2].</w:t>
      </w:r>
    </w:p>
    <w:p w14:paraId="21D40D2C" w14:textId="77777777" w:rsidR="00C37EED" w:rsidRDefault="00000000">
      <w:pPr>
        <w:spacing w:before="160" w:after="100"/>
      </w:pPr>
      <w:r>
        <w:rPr>
          <w:rFonts w:ascii="Georgia" w:eastAsia="Georgia" w:hAnsi="Georgia"/>
          <w:b/>
          <w:color w:val="0F1A30"/>
        </w:rPr>
        <w:t>How would you anticipate Product X changing staffing requirements?</w:t>
      </w:r>
    </w:p>
    <w:p w14:paraId="5F0A15C5" w14:textId="77777777" w:rsidR="00C37EED" w:rsidRDefault="00000000">
      <w:pPr>
        <w:spacing w:after="160"/>
      </w:pPr>
      <w:r>
        <w:rPr>
          <w:rFonts w:ascii="Aptos" w:eastAsia="Aptos" w:hAnsi="Aptos"/>
          <w:color w:val="4F5D78"/>
          <w:sz w:val="21"/>
        </w:rPr>
        <w:t>Staffing demand likely shifts rather than simply rises or falls. During the first 48 hours, nursing and pharmacy workload increases because the infusion must be prepared, hung, monitored, and replaced every 6-8 hours [1].</w:t>
      </w:r>
    </w:p>
    <w:p w14:paraId="20F2022B" w14:textId="77777777" w:rsidR="00C37EED" w:rsidRDefault="00000000">
      <w:pPr>
        <w:spacing w:after="160"/>
      </w:pPr>
      <w:r>
        <w:rPr>
          <w:rFonts w:ascii="Aptos" w:eastAsia="Aptos" w:hAnsi="Aptos"/>
          <w:color w:val="4F5D78"/>
          <w:sz w:val="21"/>
        </w:rPr>
        <w:t>Across the full episode of care, however, better recovery should reduce total labor demand by cutting ICU days, total LOS, rehab handoffs, and discharge complexity. Net-net, I would describe the staffing effect as front-loaded operational friction with a potentially favorable full-episode labor profile if the LOS and discharge signals hold.</w:t>
      </w:r>
    </w:p>
    <w:p w14:paraId="7F49F473" w14:textId="77777777" w:rsidR="00C37EED" w:rsidRDefault="00000000">
      <w:pPr>
        <w:spacing w:before="200" w:after="80"/>
      </w:pPr>
      <w:r>
        <w:rPr>
          <w:rFonts w:ascii="Georgia" w:eastAsia="Georgia" w:hAnsi="Georgia"/>
          <w:b/>
          <w:color w:val="0F1A30"/>
          <w:sz w:val="24"/>
        </w:rPr>
        <w:t>Payer and hospital rating of Product X</w:t>
      </w:r>
    </w:p>
    <w:tbl>
      <w:tblPr>
        <w:tblStyle w:val="TableGrid"/>
        <w:tblW w:w="0" w:type="auto"/>
        <w:jc w:val="center"/>
        <w:tblLayout w:type="fixed"/>
        <w:tblLook w:val="04A0" w:firstRow="1" w:lastRow="0" w:firstColumn="1" w:lastColumn="0" w:noHBand="0" w:noVBand="1"/>
      </w:tblPr>
      <w:tblGrid>
        <w:gridCol w:w="3168"/>
        <w:gridCol w:w="6480"/>
      </w:tblGrid>
      <w:tr w:rsidR="00C37EED" w14:paraId="427D48BF" w14:textId="77777777">
        <w:trPr>
          <w:jc w:val="center"/>
        </w:trPr>
        <w:tc>
          <w:tcPr>
            <w:tcW w:w="316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5333CEE5" w14:textId="77777777" w:rsidR="00C37EED" w:rsidRDefault="00000000">
            <w:r>
              <w:rPr>
                <w:rFonts w:ascii="Aptos" w:eastAsia="Aptos" w:hAnsi="Aptos"/>
                <w:b/>
                <w:color w:val="0F1A30"/>
                <w:sz w:val="19"/>
              </w:rPr>
              <w:t>Attribute</w:t>
            </w:r>
          </w:p>
        </w:tc>
        <w:tc>
          <w:tcPr>
            <w:tcW w:w="6480"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05950F6C" w14:textId="77777777" w:rsidR="00C37EED" w:rsidRDefault="00000000">
            <w:r>
              <w:rPr>
                <w:rFonts w:ascii="Aptos" w:eastAsia="Aptos" w:hAnsi="Aptos"/>
                <w:b/>
                <w:color w:val="0F1A30"/>
                <w:sz w:val="19"/>
              </w:rPr>
              <w:t>JL Policy Consulting assessment</w:t>
            </w:r>
          </w:p>
        </w:tc>
      </w:tr>
      <w:tr w:rsidR="00C37EED" w14:paraId="0005E515" w14:textId="77777777">
        <w:trPr>
          <w:jc w:val="center"/>
        </w:trPr>
        <w:tc>
          <w:tcPr>
            <w:tcW w:w="316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5B5CAF29" w14:textId="77777777" w:rsidR="00C37EED" w:rsidRDefault="00000000">
            <w:pPr>
              <w:spacing w:line="252" w:lineRule="auto"/>
            </w:pPr>
            <w:r>
              <w:rPr>
                <w:rFonts w:ascii="Aptos" w:eastAsia="Aptos" w:hAnsi="Aptos"/>
                <w:color w:val="4F5D78"/>
                <w:sz w:val="19"/>
              </w:rPr>
              <w:t>Efficacy</w:t>
            </w:r>
          </w:p>
        </w:tc>
        <w:tc>
          <w:tcPr>
            <w:tcW w:w="6480"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DB8A7B1" w14:textId="77777777" w:rsidR="00C37EED" w:rsidRDefault="00000000">
            <w:pPr>
              <w:spacing w:line="252" w:lineRule="auto"/>
            </w:pPr>
            <w:r>
              <w:rPr>
                <w:rFonts w:ascii="Aptos" w:eastAsia="Aptos" w:hAnsi="Aptos"/>
                <w:color w:val="4F5D78"/>
                <w:sz w:val="19"/>
              </w:rPr>
              <w:t>4.5 / 5 - Strong directional efficacy signal, pending Phase 3 confirmation.</w:t>
            </w:r>
          </w:p>
        </w:tc>
      </w:tr>
      <w:tr w:rsidR="00C37EED" w14:paraId="623C7A28" w14:textId="77777777">
        <w:trPr>
          <w:jc w:val="center"/>
        </w:trPr>
        <w:tc>
          <w:tcPr>
            <w:tcW w:w="3168" w:type="dxa"/>
            <w:tcBorders>
              <w:top w:val="single" w:sz="6" w:space="0" w:color="D5DFED"/>
              <w:left w:val="single" w:sz="6" w:space="0" w:color="D5DFED"/>
              <w:bottom w:val="single" w:sz="6" w:space="0" w:color="D5DFED"/>
              <w:right w:val="single" w:sz="6" w:space="0" w:color="D5DFED"/>
            </w:tcBorders>
            <w:vAlign w:val="center"/>
          </w:tcPr>
          <w:p w14:paraId="7D31F772" w14:textId="77777777" w:rsidR="00C37EED" w:rsidRDefault="00000000">
            <w:pPr>
              <w:spacing w:line="252" w:lineRule="auto"/>
            </w:pPr>
            <w:r>
              <w:rPr>
                <w:rFonts w:ascii="Aptos" w:eastAsia="Aptos" w:hAnsi="Aptos"/>
                <w:color w:val="4F5D78"/>
                <w:sz w:val="19"/>
              </w:rPr>
              <w:t>Safety</w:t>
            </w:r>
          </w:p>
        </w:tc>
        <w:tc>
          <w:tcPr>
            <w:tcW w:w="6480" w:type="dxa"/>
            <w:tcBorders>
              <w:top w:val="single" w:sz="6" w:space="0" w:color="D5DFED"/>
              <w:left w:val="single" w:sz="6" w:space="0" w:color="D5DFED"/>
              <w:bottom w:val="single" w:sz="6" w:space="0" w:color="D5DFED"/>
              <w:right w:val="single" w:sz="6" w:space="0" w:color="D5DFED"/>
            </w:tcBorders>
            <w:vAlign w:val="center"/>
          </w:tcPr>
          <w:p w14:paraId="00EEBFB0" w14:textId="77777777" w:rsidR="00C37EED" w:rsidRDefault="00000000">
            <w:pPr>
              <w:spacing w:line="252" w:lineRule="auto"/>
            </w:pPr>
            <w:r>
              <w:rPr>
                <w:rFonts w:ascii="Aptos" w:eastAsia="Aptos" w:hAnsi="Aptos"/>
                <w:color w:val="4F5D78"/>
                <w:sz w:val="19"/>
              </w:rPr>
              <w:t>4.0 / 5 - Favorable early profile, but still needs larger-scale confirmation.</w:t>
            </w:r>
          </w:p>
        </w:tc>
      </w:tr>
      <w:tr w:rsidR="00C37EED" w14:paraId="35DBD206" w14:textId="77777777">
        <w:trPr>
          <w:jc w:val="center"/>
        </w:trPr>
        <w:tc>
          <w:tcPr>
            <w:tcW w:w="316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45274BB7" w14:textId="77777777" w:rsidR="00C37EED" w:rsidRDefault="00000000">
            <w:pPr>
              <w:spacing w:line="252" w:lineRule="auto"/>
            </w:pPr>
            <w:r>
              <w:rPr>
                <w:rFonts w:ascii="Aptos" w:eastAsia="Aptos" w:hAnsi="Aptos"/>
                <w:color w:val="4F5D78"/>
                <w:sz w:val="19"/>
              </w:rPr>
              <w:t>Outcomes</w:t>
            </w:r>
          </w:p>
        </w:tc>
        <w:tc>
          <w:tcPr>
            <w:tcW w:w="6480"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F90821A" w14:textId="77777777" w:rsidR="00C37EED" w:rsidRDefault="00000000">
            <w:pPr>
              <w:spacing w:line="252" w:lineRule="auto"/>
            </w:pPr>
            <w:r>
              <w:rPr>
                <w:rFonts w:ascii="Aptos" w:eastAsia="Aptos" w:hAnsi="Aptos"/>
                <w:color w:val="4F5D78"/>
                <w:sz w:val="19"/>
              </w:rPr>
              <w:t>5.0 / 5 - Strongest part of the value proposition if functional and discharge gains hold.</w:t>
            </w:r>
          </w:p>
        </w:tc>
      </w:tr>
      <w:tr w:rsidR="00C37EED" w14:paraId="6130F7C6" w14:textId="77777777">
        <w:trPr>
          <w:jc w:val="center"/>
        </w:trPr>
        <w:tc>
          <w:tcPr>
            <w:tcW w:w="3168" w:type="dxa"/>
            <w:tcBorders>
              <w:top w:val="single" w:sz="6" w:space="0" w:color="D5DFED"/>
              <w:left w:val="single" w:sz="6" w:space="0" w:color="D5DFED"/>
              <w:bottom w:val="single" w:sz="6" w:space="0" w:color="D5DFED"/>
              <w:right w:val="single" w:sz="6" w:space="0" w:color="D5DFED"/>
            </w:tcBorders>
            <w:vAlign w:val="center"/>
          </w:tcPr>
          <w:p w14:paraId="4D14FAF5" w14:textId="77777777" w:rsidR="00C37EED" w:rsidRDefault="00000000">
            <w:pPr>
              <w:spacing w:line="252" w:lineRule="auto"/>
            </w:pPr>
            <w:r>
              <w:rPr>
                <w:rFonts w:ascii="Aptos" w:eastAsia="Aptos" w:hAnsi="Aptos"/>
                <w:color w:val="4F5D78"/>
                <w:sz w:val="19"/>
              </w:rPr>
              <w:t>Administration</w:t>
            </w:r>
          </w:p>
        </w:tc>
        <w:tc>
          <w:tcPr>
            <w:tcW w:w="6480" w:type="dxa"/>
            <w:tcBorders>
              <w:top w:val="single" w:sz="6" w:space="0" w:color="D5DFED"/>
              <w:left w:val="single" w:sz="6" w:space="0" w:color="D5DFED"/>
              <w:bottom w:val="single" w:sz="6" w:space="0" w:color="D5DFED"/>
              <w:right w:val="single" w:sz="6" w:space="0" w:color="D5DFED"/>
            </w:tcBorders>
            <w:vAlign w:val="center"/>
          </w:tcPr>
          <w:p w14:paraId="38EC6D7C" w14:textId="77777777" w:rsidR="00C37EED" w:rsidRDefault="00000000">
            <w:pPr>
              <w:spacing w:line="252" w:lineRule="auto"/>
            </w:pPr>
            <w:r>
              <w:rPr>
                <w:rFonts w:ascii="Aptos" w:eastAsia="Aptos" w:hAnsi="Aptos"/>
                <w:color w:val="4F5D78"/>
                <w:sz w:val="19"/>
              </w:rPr>
              <w:t>2.5 / 5 - Operationally feasible, but materially more burdensome than current supportive care.</w:t>
            </w:r>
          </w:p>
        </w:tc>
      </w:tr>
    </w:tbl>
    <w:p w14:paraId="2E9E5CF1" w14:textId="77777777" w:rsidR="00C37EED" w:rsidRDefault="00000000">
      <w:pPr>
        <w:spacing w:before="320" w:after="120"/>
      </w:pPr>
      <w:r>
        <w:rPr>
          <w:rFonts w:ascii="Georgia" w:eastAsia="Georgia" w:hAnsi="Georgia"/>
          <w:b/>
          <w:color w:val="1C3F92"/>
          <w:sz w:val="30"/>
        </w:rPr>
        <w:t>Section III. Economic Evaluation</w:t>
      </w:r>
    </w:p>
    <w:p w14:paraId="0C60669D" w14:textId="77777777" w:rsidR="00C37EED" w:rsidRDefault="00000000">
      <w:pPr>
        <w:spacing w:before="160" w:after="100"/>
      </w:pPr>
      <w:r>
        <w:rPr>
          <w:rFonts w:ascii="Georgia" w:eastAsia="Georgia" w:hAnsi="Georgia"/>
          <w:b/>
          <w:color w:val="0F1A30"/>
        </w:rPr>
        <w:t>What price expectations would you anticipate from payers and hospitals for Product X?</w:t>
      </w:r>
    </w:p>
    <w:p w14:paraId="694D5F70" w14:textId="77777777" w:rsidR="00C37EED" w:rsidRDefault="00000000">
      <w:pPr>
        <w:spacing w:after="160"/>
      </w:pPr>
      <w:r>
        <w:rPr>
          <w:rFonts w:ascii="Aptos" w:eastAsia="Aptos" w:hAnsi="Aptos"/>
          <w:color w:val="4F5D78"/>
          <w:sz w:val="21"/>
        </w:rPr>
        <w:t>As defined in the reimbursement execution framework (Section 0), Product X pricing must be interpreted through DRG-constrained thresholds rather than through a conventional hospital drug pricing narrative. Price expectations will be set by hospital economics first and payer economics second because EVT admissions are paid under bundled inpatient reimbursement [2, 6].</w:t>
      </w:r>
    </w:p>
    <w:p w14:paraId="585333B0" w14:textId="77777777" w:rsidR="00C37EED" w:rsidRDefault="00000000">
      <w:pPr>
        <w:spacing w:after="160"/>
      </w:pPr>
      <w:r>
        <w:rPr>
          <w:rFonts w:ascii="Aptos" w:eastAsia="Aptos" w:hAnsi="Aptos"/>
          <w:color w:val="4F5D78"/>
          <w:sz w:val="21"/>
        </w:rPr>
        <w:t>The absorbable range remains roughly $15,000-$20,000. The NTAP-dependent range is approximately $25,000-$35,000 and becomes financially viable only when NTAP is active because the hospital still retains meaningful unreimbursed exposure. Above roughly $50,000, Product X enters the reimbursement-dependent range and adoption becomes constrained by payment mechanics rather than clinical demand [2, 6].</w:t>
      </w:r>
    </w:p>
    <w:p w14:paraId="0AF2C547" w14:textId="77777777" w:rsidR="00C37EED" w:rsidRDefault="00000000">
      <w:pPr>
        <w:spacing w:after="160"/>
      </w:pPr>
      <w:r>
        <w:rPr>
          <w:rFonts w:ascii="Aptos" w:eastAsia="Aptos" w:hAnsi="Aptos"/>
          <w:color w:val="4F5D78"/>
          <w:sz w:val="21"/>
        </w:rPr>
        <w:t>In that reimbursement-dependent range, the clinical story may remain attractive, but the budget story weakens quickly if the hospital still carries a large unreimbursed balance.</w:t>
      </w:r>
    </w:p>
    <w:p w14:paraId="1E86DC35" w14:textId="77777777" w:rsidR="00C37EED" w:rsidRDefault="00000000">
      <w:pPr>
        <w:spacing w:before="160" w:after="100"/>
      </w:pPr>
      <w:r>
        <w:rPr>
          <w:rFonts w:ascii="Georgia" w:eastAsia="Georgia" w:hAnsi="Georgia"/>
          <w:b/>
          <w:color w:val="0F1A30"/>
        </w:rPr>
        <w:t>Considering the current average length of stay, how many days would Product X need to decrease hospital stay to offset the DRG costs?</w:t>
      </w:r>
    </w:p>
    <w:p w14:paraId="36BAA590" w14:textId="77777777" w:rsidR="00C37EED" w:rsidRDefault="00000000">
      <w:pPr>
        <w:spacing w:after="160"/>
      </w:pPr>
      <w:r>
        <w:rPr>
          <w:rFonts w:ascii="Aptos" w:eastAsia="Aptos" w:hAnsi="Aptos"/>
          <w:color w:val="4F5D78"/>
          <w:sz w:val="21"/>
        </w:rPr>
        <w:t>As defined in the reimbursement execution framework (Section 0), length-of-stay savings do not replace reimbursement alignment. Using a directional variable cost benchmark of about $2,000-$3,000 per inpatient day, Product X would need to reduce hospital stay by approximately 5-8 days at a $15,000 price, 8-13 days at $25,000, 12-18 days at $35,000, and 17-25 days at $50,000 [2, 5].</w:t>
      </w:r>
    </w:p>
    <w:p w14:paraId="316E43A7" w14:textId="77777777" w:rsidR="00C37EED" w:rsidRDefault="00000000">
      <w:pPr>
        <w:spacing w:after="160"/>
      </w:pPr>
      <w:r>
        <w:rPr>
          <w:rFonts w:ascii="Aptos" w:eastAsia="Aptos" w:hAnsi="Aptos"/>
          <w:color w:val="4F5D78"/>
          <w:sz w:val="21"/>
        </w:rPr>
        <w:t>The implication is that LOS reduction enables the lower launch band, but LOS reduction alone does not close the economic gap once Product X moves into the NTAP-dependent or reimbursement-dependent price ranges.</w:t>
      </w:r>
    </w:p>
    <w:p w14:paraId="6E263C4D" w14:textId="77777777" w:rsidR="00C37EED" w:rsidRDefault="00000000">
      <w:pPr>
        <w:spacing w:before="160" w:after="100"/>
      </w:pPr>
      <w:r>
        <w:rPr>
          <w:rFonts w:ascii="Georgia" w:eastAsia="Georgia" w:hAnsi="Georgia"/>
          <w:b/>
          <w:color w:val="0F1A30"/>
        </w:rPr>
        <w:t>Considering the current average length of ICU stay, how many days would Product X need to decrease ICU stay to offset the DRG costs?</w:t>
      </w:r>
    </w:p>
    <w:p w14:paraId="4BE43F9F" w14:textId="77777777" w:rsidR="00C37EED" w:rsidRDefault="00000000">
      <w:pPr>
        <w:spacing w:after="160"/>
      </w:pPr>
      <w:r>
        <w:rPr>
          <w:rFonts w:ascii="Aptos" w:eastAsia="Aptos" w:hAnsi="Aptos"/>
          <w:color w:val="4F5D78"/>
          <w:sz w:val="21"/>
        </w:rPr>
        <w:t>Using a directional ICU planning benchmark of roughly $3,000-$5,000 per day, Product X would need to reduce ICU stay by approximately 3-5 days at $15,000, 5-8 days at $25,000, 7-12 days at $35,000, and 10-17 days at $50,000.</w:t>
      </w:r>
    </w:p>
    <w:p w14:paraId="0E6994F3" w14:textId="77777777" w:rsidR="00C37EED" w:rsidRDefault="00000000">
      <w:pPr>
        <w:spacing w:after="160"/>
      </w:pPr>
      <w:r>
        <w:rPr>
          <w:rFonts w:ascii="Aptos" w:eastAsia="Aptos" w:hAnsi="Aptos"/>
          <w:color w:val="4F5D78"/>
          <w:sz w:val="21"/>
        </w:rPr>
        <w:t>Because many EVT patients spend only 2-4 ICU days, ICU savings are helpful but still insufficient as a standalone justification. In other words, ICU savings improve the DRG-constrained pricing case, but they do not by themselves overcome the reimbursement-dependent adoption threshold at higher price points.</w:t>
      </w:r>
    </w:p>
    <w:p w14:paraId="0383EE1F" w14:textId="77777777" w:rsidR="00C37EED" w:rsidRDefault="00000000">
      <w:pPr>
        <w:spacing w:before="200" w:after="80"/>
      </w:pPr>
      <w:r>
        <w:rPr>
          <w:rFonts w:ascii="Georgia" w:eastAsia="Georgia" w:hAnsi="Georgia"/>
          <w:b/>
          <w:color w:val="0F1A30"/>
          <w:sz w:val="24"/>
        </w:rPr>
        <w:t>Expected payer management by price point</w:t>
      </w:r>
    </w:p>
    <w:tbl>
      <w:tblPr>
        <w:tblStyle w:val="TableGrid"/>
        <w:tblW w:w="0" w:type="auto"/>
        <w:jc w:val="center"/>
        <w:tblLayout w:type="fixed"/>
        <w:tblLook w:val="04A0" w:firstRow="1" w:lastRow="0" w:firstColumn="1" w:lastColumn="0" w:noHBand="0" w:noVBand="1"/>
      </w:tblPr>
      <w:tblGrid>
        <w:gridCol w:w="1728"/>
        <w:gridCol w:w="1944"/>
        <w:gridCol w:w="5976"/>
      </w:tblGrid>
      <w:tr w:rsidR="00C37EED" w14:paraId="051F1427"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7752C571" w14:textId="77777777" w:rsidR="00C37EED" w:rsidRDefault="00000000">
            <w:r>
              <w:rPr>
                <w:rFonts w:ascii="Aptos" w:eastAsia="Aptos" w:hAnsi="Aptos"/>
                <w:b/>
                <w:color w:val="0F1A30"/>
                <w:sz w:val="19"/>
              </w:rPr>
              <w:t>Product X cost</w:t>
            </w:r>
          </w:p>
        </w:tc>
        <w:tc>
          <w:tcPr>
            <w:tcW w:w="1944"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3D6D8A5E" w14:textId="77777777" w:rsidR="00C37EED" w:rsidRDefault="00000000">
            <w:r>
              <w:rPr>
                <w:rFonts w:ascii="Aptos" w:eastAsia="Aptos" w:hAnsi="Aptos"/>
                <w:b/>
                <w:color w:val="0F1A30"/>
                <w:sz w:val="19"/>
              </w:rPr>
              <w:t>Coverage view</w:t>
            </w:r>
          </w:p>
        </w:tc>
        <w:tc>
          <w:tcPr>
            <w:tcW w:w="5976"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2E621DD4" w14:textId="77777777" w:rsidR="00C37EED" w:rsidRDefault="00000000">
            <w:r>
              <w:rPr>
                <w:rFonts w:ascii="Aptos" w:eastAsia="Aptos" w:hAnsi="Aptos"/>
                <w:b/>
                <w:color w:val="0F1A30"/>
                <w:sz w:val="19"/>
              </w:rPr>
              <w:t>Likely management approach</w:t>
            </w:r>
          </w:p>
        </w:tc>
      </w:tr>
      <w:tr w:rsidR="00C37EED" w14:paraId="796FB371"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454D03F" w14:textId="77777777" w:rsidR="00C37EED" w:rsidRDefault="00000000">
            <w:pPr>
              <w:spacing w:line="252" w:lineRule="auto"/>
            </w:pPr>
            <w:r>
              <w:rPr>
                <w:rFonts w:ascii="Aptos" w:eastAsia="Aptos" w:hAnsi="Aptos"/>
                <w:color w:val="4F5D78"/>
                <w:sz w:val="19"/>
              </w:rPr>
              <w:t>$15K per event</w:t>
            </w:r>
          </w:p>
        </w:tc>
        <w:tc>
          <w:tcPr>
            <w:tcW w:w="1944"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4C5BD95" w14:textId="77777777" w:rsidR="00C37EED" w:rsidRDefault="00000000">
            <w:pPr>
              <w:spacing w:line="252" w:lineRule="auto"/>
            </w:pPr>
            <w:r>
              <w:rPr>
                <w:rFonts w:ascii="Aptos" w:eastAsia="Aptos" w:hAnsi="Aptos"/>
                <w:color w:val="4F5D78"/>
                <w:sz w:val="19"/>
              </w:rPr>
              <w:t>Generally payable in principle</w:t>
            </w:r>
          </w:p>
        </w:tc>
        <w:tc>
          <w:tcPr>
            <w:tcW w:w="5976"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106B58E" w14:textId="77777777" w:rsidR="00C37EED" w:rsidRDefault="00000000">
            <w:pPr>
              <w:spacing w:line="252" w:lineRule="auto"/>
            </w:pPr>
            <w:r>
              <w:rPr>
                <w:rFonts w:ascii="Aptos" w:eastAsia="Aptos" w:hAnsi="Aptos"/>
                <w:color w:val="4F5D78"/>
                <w:sz w:val="19"/>
              </w:rPr>
              <w:t>Minimal restrictions beyond standard medical necessity and labeled use, but hospital economics still matter.</w:t>
            </w:r>
          </w:p>
        </w:tc>
      </w:tr>
      <w:tr w:rsidR="00C37EED" w14:paraId="310BD199" w14:textId="77777777">
        <w:trPr>
          <w:jc w:val="center"/>
        </w:trPr>
        <w:tc>
          <w:tcPr>
            <w:tcW w:w="1728" w:type="dxa"/>
            <w:tcBorders>
              <w:top w:val="single" w:sz="6" w:space="0" w:color="D5DFED"/>
              <w:left w:val="single" w:sz="6" w:space="0" w:color="D5DFED"/>
              <w:bottom w:val="single" w:sz="6" w:space="0" w:color="D5DFED"/>
              <w:right w:val="single" w:sz="6" w:space="0" w:color="D5DFED"/>
            </w:tcBorders>
            <w:vAlign w:val="center"/>
          </w:tcPr>
          <w:p w14:paraId="4D43F25C" w14:textId="77777777" w:rsidR="00C37EED" w:rsidRDefault="00000000">
            <w:pPr>
              <w:spacing w:line="252" w:lineRule="auto"/>
            </w:pPr>
            <w:r>
              <w:rPr>
                <w:rFonts w:ascii="Aptos" w:eastAsia="Aptos" w:hAnsi="Aptos"/>
                <w:color w:val="4F5D78"/>
                <w:sz w:val="19"/>
              </w:rPr>
              <w:t>$25K per event</w:t>
            </w:r>
          </w:p>
        </w:tc>
        <w:tc>
          <w:tcPr>
            <w:tcW w:w="1944" w:type="dxa"/>
            <w:tcBorders>
              <w:top w:val="single" w:sz="6" w:space="0" w:color="D5DFED"/>
              <w:left w:val="single" w:sz="6" w:space="0" w:color="D5DFED"/>
              <w:bottom w:val="single" w:sz="6" w:space="0" w:color="D5DFED"/>
              <w:right w:val="single" w:sz="6" w:space="0" w:color="D5DFED"/>
            </w:tcBorders>
            <w:vAlign w:val="center"/>
          </w:tcPr>
          <w:p w14:paraId="42B57F79" w14:textId="77777777" w:rsidR="00C37EED" w:rsidRDefault="00000000">
            <w:pPr>
              <w:spacing w:line="252" w:lineRule="auto"/>
            </w:pPr>
            <w:r>
              <w:rPr>
                <w:rFonts w:ascii="Aptos" w:eastAsia="Aptos" w:hAnsi="Aptos"/>
                <w:color w:val="4F5D78"/>
                <w:sz w:val="19"/>
              </w:rPr>
              <w:t>Payable, with tighter management</w:t>
            </w:r>
          </w:p>
        </w:tc>
        <w:tc>
          <w:tcPr>
            <w:tcW w:w="5976" w:type="dxa"/>
            <w:tcBorders>
              <w:top w:val="single" w:sz="6" w:space="0" w:color="D5DFED"/>
              <w:left w:val="single" w:sz="6" w:space="0" w:color="D5DFED"/>
              <w:bottom w:val="single" w:sz="6" w:space="0" w:color="D5DFED"/>
              <w:right w:val="single" w:sz="6" w:space="0" w:color="D5DFED"/>
            </w:tcBorders>
            <w:vAlign w:val="center"/>
          </w:tcPr>
          <w:p w14:paraId="47E82CCF" w14:textId="77777777" w:rsidR="00C37EED" w:rsidRDefault="00000000">
            <w:pPr>
              <w:spacing w:line="252" w:lineRule="auto"/>
            </w:pPr>
            <w:r>
              <w:rPr>
                <w:rFonts w:ascii="Aptos" w:eastAsia="Aptos" w:hAnsi="Aptos"/>
                <w:color w:val="4F5D78"/>
                <w:sz w:val="19"/>
              </w:rPr>
              <w:t>Use linked tightly to the post-EVT labeled population, with stronger documentation expectations.</w:t>
            </w:r>
          </w:p>
        </w:tc>
      </w:tr>
      <w:tr w:rsidR="00C37EED" w14:paraId="0339275F"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2D74B09A" w14:textId="77777777" w:rsidR="00C37EED" w:rsidRDefault="00000000">
            <w:pPr>
              <w:spacing w:line="252" w:lineRule="auto"/>
            </w:pPr>
            <w:r>
              <w:rPr>
                <w:rFonts w:ascii="Aptos" w:eastAsia="Aptos" w:hAnsi="Aptos"/>
                <w:color w:val="4F5D78"/>
                <w:sz w:val="19"/>
              </w:rPr>
              <w:t>$35K per event</w:t>
            </w:r>
          </w:p>
        </w:tc>
        <w:tc>
          <w:tcPr>
            <w:tcW w:w="1944"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0A7CB80" w14:textId="77777777" w:rsidR="00C37EED" w:rsidRDefault="00000000">
            <w:pPr>
              <w:spacing w:line="252" w:lineRule="auto"/>
            </w:pPr>
            <w:r>
              <w:rPr>
                <w:rFonts w:ascii="Aptos" w:eastAsia="Aptos" w:hAnsi="Aptos"/>
                <w:color w:val="4F5D78"/>
                <w:sz w:val="19"/>
              </w:rPr>
              <w:t>Payable but economically constrained</w:t>
            </w:r>
          </w:p>
        </w:tc>
        <w:tc>
          <w:tcPr>
            <w:tcW w:w="5976"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7036D93F" w14:textId="77777777" w:rsidR="00C37EED" w:rsidRDefault="00000000">
            <w:pPr>
              <w:spacing w:line="252" w:lineRule="auto"/>
            </w:pPr>
            <w:r>
              <w:rPr>
                <w:rFonts w:ascii="Aptos" w:eastAsia="Aptos" w:hAnsi="Aptos"/>
                <w:color w:val="4F5D78"/>
                <w:sz w:val="19"/>
              </w:rPr>
              <w:t>Closer scrutiny of severity, timing, EVT confirmation, and utilization patterns.</w:t>
            </w:r>
          </w:p>
        </w:tc>
      </w:tr>
      <w:tr w:rsidR="00C37EED" w14:paraId="2CCFA3B0" w14:textId="77777777">
        <w:trPr>
          <w:jc w:val="center"/>
        </w:trPr>
        <w:tc>
          <w:tcPr>
            <w:tcW w:w="1728" w:type="dxa"/>
            <w:tcBorders>
              <w:top w:val="single" w:sz="6" w:space="0" w:color="D5DFED"/>
              <w:left w:val="single" w:sz="6" w:space="0" w:color="D5DFED"/>
              <w:bottom w:val="single" w:sz="6" w:space="0" w:color="D5DFED"/>
              <w:right w:val="single" w:sz="6" w:space="0" w:color="D5DFED"/>
            </w:tcBorders>
            <w:vAlign w:val="center"/>
          </w:tcPr>
          <w:p w14:paraId="42A82720" w14:textId="77777777" w:rsidR="00C37EED" w:rsidRDefault="00000000">
            <w:pPr>
              <w:spacing w:line="252" w:lineRule="auto"/>
            </w:pPr>
            <w:r>
              <w:rPr>
                <w:rFonts w:ascii="Aptos" w:eastAsia="Aptos" w:hAnsi="Aptos"/>
                <w:color w:val="4F5D78"/>
                <w:sz w:val="19"/>
              </w:rPr>
              <w:t>$50K per event</w:t>
            </w:r>
          </w:p>
        </w:tc>
        <w:tc>
          <w:tcPr>
            <w:tcW w:w="1944" w:type="dxa"/>
            <w:tcBorders>
              <w:top w:val="single" w:sz="6" w:space="0" w:color="D5DFED"/>
              <w:left w:val="single" w:sz="6" w:space="0" w:color="D5DFED"/>
              <w:bottom w:val="single" w:sz="6" w:space="0" w:color="D5DFED"/>
              <w:right w:val="single" w:sz="6" w:space="0" w:color="D5DFED"/>
            </w:tcBorders>
            <w:vAlign w:val="center"/>
          </w:tcPr>
          <w:p w14:paraId="47F1D8A2" w14:textId="77777777" w:rsidR="00C37EED" w:rsidRDefault="00000000">
            <w:pPr>
              <w:spacing w:line="252" w:lineRule="auto"/>
            </w:pPr>
            <w:r>
              <w:rPr>
                <w:rFonts w:ascii="Aptos" w:eastAsia="Aptos" w:hAnsi="Aptos"/>
                <w:color w:val="4F5D78"/>
                <w:sz w:val="19"/>
              </w:rPr>
              <w:t>Payable in principle, but operationally difficult</w:t>
            </w:r>
          </w:p>
        </w:tc>
        <w:tc>
          <w:tcPr>
            <w:tcW w:w="5976" w:type="dxa"/>
            <w:tcBorders>
              <w:top w:val="single" w:sz="6" w:space="0" w:color="D5DFED"/>
              <w:left w:val="single" w:sz="6" w:space="0" w:color="D5DFED"/>
              <w:bottom w:val="single" w:sz="6" w:space="0" w:color="D5DFED"/>
              <w:right w:val="single" w:sz="6" w:space="0" w:color="D5DFED"/>
            </w:tcBorders>
            <w:vAlign w:val="center"/>
          </w:tcPr>
          <w:p w14:paraId="24109FD0" w14:textId="77777777" w:rsidR="00C37EED" w:rsidRDefault="00000000">
            <w:pPr>
              <w:spacing w:line="252" w:lineRule="auto"/>
            </w:pPr>
            <w:r>
              <w:rPr>
                <w:rFonts w:ascii="Aptos" w:eastAsia="Aptos" w:hAnsi="Aptos"/>
                <w:color w:val="4F5D78"/>
                <w:sz w:val="19"/>
              </w:rPr>
              <w:t>Bedside denial remains unlikely, but hospital willingness to absorb cost becomes the practical limiter.</w:t>
            </w:r>
          </w:p>
        </w:tc>
      </w:tr>
    </w:tbl>
    <w:p w14:paraId="34C76876" w14:textId="77777777" w:rsidR="00C37EED" w:rsidRDefault="00000000">
      <w:pPr>
        <w:spacing w:before="320" w:after="120"/>
      </w:pPr>
      <w:r>
        <w:rPr>
          <w:rFonts w:ascii="Georgia" w:eastAsia="Georgia" w:hAnsi="Georgia"/>
          <w:b/>
          <w:color w:val="1C3F92"/>
          <w:sz w:val="30"/>
        </w:rPr>
        <w:t>Section IV. DRG Evaluation</w:t>
      </w:r>
    </w:p>
    <w:p w14:paraId="60FF4251" w14:textId="77777777" w:rsidR="00C37EED" w:rsidRDefault="00000000">
      <w:pPr>
        <w:spacing w:before="160" w:after="100"/>
      </w:pPr>
      <w:r>
        <w:rPr>
          <w:rFonts w:ascii="Georgia" w:eastAsia="Georgia" w:hAnsi="Georgia"/>
          <w:b/>
          <w:color w:val="0F1A30"/>
        </w:rPr>
        <w:t>Considering the DRGs currently billed, how would you consider the reimbursement of Product X in the DRG?</w:t>
      </w:r>
    </w:p>
    <w:p w14:paraId="3BA01A42" w14:textId="77777777" w:rsidR="00C37EED" w:rsidRDefault="00000000">
      <w:pPr>
        <w:spacing w:after="160"/>
      </w:pPr>
      <w:r>
        <w:rPr>
          <w:rFonts w:ascii="Aptos" w:eastAsia="Aptos" w:hAnsi="Aptos"/>
          <w:color w:val="4F5D78"/>
          <w:sz w:val="21"/>
        </w:rPr>
        <w:t>As outlined in Section 0.3, Product X will initially be absorbed inside the existing stroke and EVT MS-DRGs and therefore launch as a hospital cost center. That is the central reimbursement problem at launch, even if the clinical value proposition is compelling [2, 6].</w:t>
      </w:r>
    </w:p>
    <w:p w14:paraId="081C20FC" w14:textId="77777777" w:rsidR="00C37EED" w:rsidRDefault="00000000">
      <w:pPr>
        <w:spacing w:after="160"/>
      </w:pPr>
      <w:r>
        <w:rPr>
          <w:rFonts w:ascii="Aptos" w:eastAsia="Aptos" w:hAnsi="Aptos"/>
          <w:color w:val="4F5D78"/>
          <w:sz w:val="21"/>
        </w:rPr>
        <w:t>Unless CMS or commercial payers create incremental payment support, the hospital takes the near-term margin risk. Consistent with Section 0.4, coding visibility determines whether Product X is economically visible enough for CMS to recognize that risk in future payment policy.</w:t>
      </w:r>
    </w:p>
    <w:p w14:paraId="3A2A1034" w14:textId="77777777" w:rsidR="00C37EED" w:rsidRDefault="00000000">
      <w:pPr>
        <w:spacing w:before="160" w:after="100"/>
      </w:pPr>
      <w:r>
        <w:rPr>
          <w:rFonts w:ascii="Georgia" w:eastAsia="Georgia" w:hAnsi="Georgia"/>
          <w:b/>
          <w:color w:val="0F1A30"/>
        </w:rPr>
        <w:t>Would you anticipate Product X to drive a new DRG or DRG update? How would payers allow billing for Product X in addition to the DRGs?</w:t>
      </w:r>
    </w:p>
    <w:p w14:paraId="7ABC7E9E" w14:textId="77777777" w:rsidR="00C37EED" w:rsidRDefault="00000000">
      <w:pPr>
        <w:spacing w:after="160"/>
      </w:pPr>
      <w:r>
        <w:rPr>
          <w:rFonts w:ascii="Aptos" w:eastAsia="Aptos" w:hAnsi="Aptos"/>
          <w:color w:val="4F5D78"/>
          <w:sz w:val="21"/>
        </w:rPr>
        <w:t>Consistent with Section 0.4, coding visibility determines whether CMS can validate cost and consider permanent payment realignment. An immediate new DRG is unlikely. The more realistic path is launch inside existing DRGs, pursue NTAP, and then use real-world claims and cost experience to support DRG reweighting or a DRG split if utilization becomes common and economically distinct [2, 6, 10].</w:t>
      </w:r>
    </w:p>
    <w:p w14:paraId="2C526A89" w14:textId="77777777" w:rsidR="00C37EED" w:rsidRDefault="00000000">
      <w:pPr>
        <w:spacing w:after="160"/>
      </w:pPr>
      <w:r>
        <w:rPr>
          <w:rFonts w:ascii="Aptos" w:eastAsia="Aptos" w:hAnsi="Aptos"/>
          <w:color w:val="4F5D78"/>
          <w:sz w:val="21"/>
        </w:rPr>
        <w:t>Separate line-item inpatient drug billing is not the expected path. The practical add-on pathways are NTAP first and, more selectively, outlier payments in unusually expensive cases. Cash-pay is not a credible inpatient strategy for a therapy embedded in a covered admission.</w:t>
      </w:r>
    </w:p>
    <w:p w14:paraId="70CDDC43" w14:textId="77777777" w:rsidR="00C37EED" w:rsidRDefault="00000000">
      <w:pPr>
        <w:spacing w:before="200" w:after="80"/>
      </w:pPr>
      <w:r>
        <w:rPr>
          <w:rFonts w:ascii="Georgia" w:eastAsia="Georgia" w:hAnsi="Georgia"/>
          <w:b/>
          <w:color w:val="0F1A30"/>
          <w:sz w:val="24"/>
        </w:rPr>
        <w:t>Expected hospital adoption pressure by price point</w:t>
      </w:r>
    </w:p>
    <w:tbl>
      <w:tblPr>
        <w:tblStyle w:val="TableGrid"/>
        <w:tblW w:w="0" w:type="auto"/>
        <w:jc w:val="center"/>
        <w:tblLayout w:type="fixed"/>
        <w:tblLook w:val="04A0" w:firstRow="1" w:lastRow="0" w:firstColumn="1" w:lastColumn="0" w:noHBand="0" w:noVBand="1"/>
      </w:tblPr>
      <w:tblGrid>
        <w:gridCol w:w="1728"/>
        <w:gridCol w:w="3168"/>
        <w:gridCol w:w="4752"/>
      </w:tblGrid>
      <w:tr w:rsidR="00C37EED" w14:paraId="66EC72E5"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2487F605" w14:textId="77777777" w:rsidR="00C37EED" w:rsidRDefault="00000000">
            <w:r>
              <w:rPr>
                <w:rFonts w:ascii="Aptos" w:eastAsia="Aptos" w:hAnsi="Aptos"/>
                <w:b/>
                <w:color w:val="0F1A30"/>
                <w:sz w:val="19"/>
              </w:rPr>
              <w:t>Product X cost</w:t>
            </w:r>
          </w:p>
        </w:tc>
        <w:tc>
          <w:tcPr>
            <w:tcW w:w="3168"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0EF5E514" w14:textId="77777777" w:rsidR="00C37EED" w:rsidRDefault="00000000">
            <w:r>
              <w:rPr>
                <w:rFonts w:ascii="Aptos" w:eastAsia="Aptos" w:hAnsi="Aptos"/>
                <w:b/>
                <w:color w:val="0F1A30"/>
                <w:sz w:val="19"/>
              </w:rPr>
              <w:t>Need for price adjustment under current DRGs</w:t>
            </w:r>
          </w:p>
        </w:tc>
        <w:tc>
          <w:tcPr>
            <w:tcW w:w="4752" w:type="dxa"/>
            <w:tcBorders>
              <w:top w:val="single" w:sz="6" w:space="0" w:color="D5DFED"/>
              <w:left w:val="single" w:sz="6" w:space="0" w:color="D5DFED"/>
              <w:bottom w:val="single" w:sz="6" w:space="0" w:color="D5DFED"/>
              <w:right w:val="single" w:sz="6" w:space="0" w:color="D5DFED"/>
            </w:tcBorders>
            <w:shd w:val="clear" w:color="auto" w:fill="E7EEF8"/>
            <w:vAlign w:val="center"/>
          </w:tcPr>
          <w:p w14:paraId="0A61D9C8" w14:textId="77777777" w:rsidR="00C37EED" w:rsidRDefault="00000000">
            <w:r>
              <w:rPr>
                <w:rFonts w:ascii="Aptos" w:eastAsia="Aptos" w:hAnsi="Aptos"/>
                <w:b/>
                <w:color w:val="0F1A30"/>
                <w:sz w:val="19"/>
              </w:rPr>
              <w:t>Expected adoption response</w:t>
            </w:r>
          </w:p>
        </w:tc>
      </w:tr>
      <w:tr w:rsidR="00C37EED" w14:paraId="493E9159"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8009F99" w14:textId="77777777" w:rsidR="00C37EED" w:rsidRDefault="00000000">
            <w:pPr>
              <w:spacing w:line="252" w:lineRule="auto"/>
            </w:pPr>
            <w:r>
              <w:rPr>
                <w:rFonts w:ascii="Aptos" w:eastAsia="Aptos" w:hAnsi="Aptos"/>
                <w:color w:val="4F5D78"/>
                <w:sz w:val="19"/>
              </w:rPr>
              <w:t>$15K per event</w:t>
            </w:r>
          </w:p>
        </w:tc>
        <w:tc>
          <w:tcPr>
            <w:tcW w:w="316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6AF77357" w14:textId="77777777" w:rsidR="00C37EED" w:rsidRDefault="00000000">
            <w:pPr>
              <w:spacing w:line="252" w:lineRule="auto"/>
            </w:pPr>
            <w:r>
              <w:rPr>
                <w:rFonts w:ascii="Aptos" w:eastAsia="Aptos" w:hAnsi="Aptos"/>
                <w:color w:val="4F5D78"/>
                <w:sz w:val="19"/>
              </w:rPr>
              <w:t>Generally no immediate adjustment required</w:t>
            </w:r>
          </w:p>
        </w:tc>
        <w:tc>
          <w:tcPr>
            <w:tcW w:w="4752"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3210CABD" w14:textId="77777777" w:rsidR="00C37EED" w:rsidRDefault="00000000">
            <w:pPr>
              <w:spacing w:line="252" w:lineRule="auto"/>
            </w:pPr>
            <w:r>
              <w:rPr>
                <w:rFonts w:ascii="Aptos" w:eastAsia="Aptos" w:hAnsi="Aptos"/>
                <w:color w:val="4F5D78"/>
                <w:sz w:val="19"/>
              </w:rPr>
              <w:t>Broadest early adoption because the cost is directionally absorbable.</w:t>
            </w:r>
          </w:p>
        </w:tc>
      </w:tr>
      <w:tr w:rsidR="00C37EED" w14:paraId="239C2B9C" w14:textId="77777777">
        <w:trPr>
          <w:jc w:val="center"/>
        </w:trPr>
        <w:tc>
          <w:tcPr>
            <w:tcW w:w="1728" w:type="dxa"/>
            <w:tcBorders>
              <w:top w:val="single" w:sz="6" w:space="0" w:color="D5DFED"/>
              <w:left w:val="single" w:sz="6" w:space="0" w:color="D5DFED"/>
              <w:bottom w:val="single" w:sz="6" w:space="0" w:color="D5DFED"/>
              <w:right w:val="single" w:sz="6" w:space="0" w:color="D5DFED"/>
            </w:tcBorders>
            <w:vAlign w:val="center"/>
          </w:tcPr>
          <w:p w14:paraId="005AD143" w14:textId="77777777" w:rsidR="00C37EED" w:rsidRDefault="00000000">
            <w:pPr>
              <w:spacing w:line="252" w:lineRule="auto"/>
            </w:pPr>
            <w:r>
              <w:rPr>
                <w:rFonts w:ascii="Aptos" w:eastAsia="Aptos" w:hAnsi="Aptos"/>
                <w:color w:val="4F5D78"/>
                <w:sz w:val="19"/>
              </w:rPr>
              <w:t>$25K per event</w:t>
            </w:r>
          </w:p>
        </w:tc>
        <w:tc>
          <w:tcPr>
            <w:tcW w:w="3168" w:type="dxa"/>
            <w:tcBorders>
              <w:top w:val="single" w:sz="6" w:space="0" w:color="D5DFED"/>
              <w:left w:val="single" w:sz="6" w:space="0" w:color="D5DFED"/>
              <w:bottom w:val="single" w:sz="6" w:space="0" w:color="D5DFED"/>
              <w:right w:val="single" w:sz="6" w:space="0" w:color="D5DFED"/>
            </w:tcBorders>
            <w:vAlign w:val="center"/>
          </w:tcPr>
          <w:p w14:paraId="371AA738" w14:textId="77777777" w:rsidR="00C37EED" w:rsidRDefault="00000000">
            <w:pPr>
              <w:spacing w:line="252" w:lineRule="auto"/>
            </w:pPr>
            <w:r>
              <w:rPr>
                <w:rFonts w:ascii="Aptos" w:eastAsia="Aptos" w:hAnsi="Aptos"/>
                <w:color w:val="4F5D78"/>
                <w:sz w:val="19"/>
              </w:rPr>
              <w:t>Helpful but not always mandatory</w:t>
            </w:r>
          </w:p>
        </w:tc>
        <w:tc>
          <w:tcPr>
            <w:tcW w:w="4752" w:type="dxa"/>
            <w:tcBorders>
              <w:top w:val="single" w:sz="6" w:space="0" w:color="D5DFED"/>
              <w:left w:val="single" w:sz="6" w:space="0" w:color="D5DFED"/>
              <w:bottom w:val="single" w:sz="6" w:space="0" w:color="D5DFED"/>
              <w:right w:val="single" w:sz="6" w:space="0" w:color="D5DFED"/>
            </w:tcBorders>
            <w:vAlign w:val="center"/>
          </w:tcPr>
          <w:p w14:paraId="148DEBCF" w14:textId="77777777" w:rsidR="00C37EED" w:rsidRDefault="00000000">
            <w:pPr>
              <w:spacing w:line="252" w:lineRule="auto"/>
            </w:pPr>
            <w:r>
              <w:rPr>
                <w:rFonts w:ascii="Aptos" w:eastAsia="Aptos" w:hAnsi="Aptos"/>
                <w:color w:val="4F5D78"/>
                <w:sz w:val="19"/>
              </w:rPr>
              <w:t>Manageable with margin pressure and closer value-analysis review.</w:t>
            </w:r>
          </w:p>
        </w:tc>
      </w:tr>
      <w:tr w:rsidR="00C37EED" w14:paraId="678A0616"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3941B71F" w14:textId="77777777" w:rsidR="00C37EED" w:rsidRDefault="00000000">
            <w:pPr>
              <w:spacing w:line="252" w:lineRule="auto"/>
            </w:pPr>
            <w:r>
              <w:rPr>
                <w:rFonts w:ascii="Aptos" w:eastAsia="Aptos" w:hAnsi="Aptos"/>
                <w:color w:val="4F5D78"/>
                <w:sz w:val="19"/>
              </w:rPr>
              <w:t>$35K per event</w:t>
            </w:r>
          </w:p>
        </w:tc>
        <w:tc>
          <w:tcPr>
            <w:tcW w:w="316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291AE3A0" w14:textId="77777777" w:rsidR="00C37EED" w:rsidRDefault="00000000">
            <w:pPr>
              <w:spacing w:line="252" w:lineRule="auto"/>
            </w:pPr>
            <w:r>
              <w:rPr>
                <w:rFonts w:ascii="Aptos" w:eastAsia="Aptos" w:hAnsi="Aptos"/>
                <w:color w:val="4F5D78"/>
                <w:sz w:val="19"/>
              </w:rPr>
              <w:t>Frequently needed</w:t>
            </w:r>
          </w:p>
        </w:tc>
        <w:tc>
          <w:tcPr>
            <w:tcW w:w="4752"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079B2FEB" w14:textId="77777777" w:rsidR="00C37EED" w:rsidRDefault="00000000">
            <w:pPr>
              <w:spacing w:line="252" w:lineRule="auto"/>
            </w:pPr>
            <w:r>
              <w:rPr>
                <w:rFonts w:ascii="Aptos" w:eastAsia="Aptos" w:hAnsi="Aptos"/>
                <w:color w:val="4F5D78"/>
                <w:sz w:val="19"/>
              </w:rPr>
              <w:t>Friction rises materially; adoption slows without NTAP or site-specific offset confidence.</w:t>
            </w:r>
          </w:p>
        </w:tc>
      </w:tr>
      <w:tr w:rsidR="00C37EED" w14:paraId="05DB6674" w14:textId="77777777">
        <w:trPr>
          <w:jc w:val="center"/>
        </w:trPr>
        <w:tc>
          <w:tcPr>
            <w:tcW w:w="1728" w:type="dxa"/>
            <w:tcBorders>
              <w:top w:val="single" w:sz="6" w:space="0" w:color="D5DFED"/>
              <w:left w:val="single" w:sz="6" w:space="0" w:color="D5DFED"/>
              <w:bottom w:val="single" w:sz="6" w:space="0" w:color="D5DFED"/>
              <w:right w:val="single" w:sz="6" w:space="0" w:color="D5DFED"/>
            </w:tcBorders>
            <w:vAlign w:val="center"/>
          </w:tcPr>
          <w:p w14:paraId="35187147" w14:textId="77777777" w:rsidR="00C37EED" w:rsidRDefault="00000000">
            <w:pPr>
              <w:spacing w:line="252" w:lineRule="auto"/>
            </w:pPr>
            <w:r>
              <w:rPr>
                <w:rFonts w:ascii="Aptos" w:eastAsia="Aptos" w:hAnsi="Aptos"/>
                <w:color w:val="4F5D78"/>
                <w:sz w:val="19"/>
              </w:rPr>
              <w:t>$50K per event</w:t>
            </w:r>
          </w:p>
        </w:tc>
        <w:tc>
          <w:tcPr>
            <w:tcW w:w="3168" w:type="dxa"/>
            <w:tcBorders>
              <w:top w:val="single" w:sz="6" w:space="0" w:color="D5DFED"/>
              <w:left w:val="single" w:sz="6" w:space="0" w:color="D5DFED"/>
              <w:bottom w:val="single" w:sz="6" w:space="0" w:color="D5DFED"/>
              <w:right w:val="single" w:sz="6" w:space="0" w:color="D5DFED"/>
            </w:tcBorders>
            <w:vAlign w:val="center"/>
          </w:tcPr>
          <w:p w14:paraId="05BE913B" w14:textId="77777777" w:rsidR="00C37EED" w:rsidRDefault="00000000">
            <w:pPr>
              <w:spacing w:line="252" w:lineRule="auto"/>
            </w:pPr>
            <w:r>
              <w:rPr>
                <w:rFonts w:ascii="Aptos" w:eastAsia="Aptos" w:hAnsi="Aptos"/>
                <w:color w:val="4F5D78"/>
                <w:sz w:val="19"/>
              </w:rPr>
              <w:t>Required</w:t>
            </w:r>
          </w:p>
        </w:tc>
        <w:tc>
          <w:tcPr>
            <w:tcW w:w="4752" w:type="dxa"/>
            <w:tcBorders>
              <w:top w:val="single" w:sz="6" w:space="0" w:color="D5DFED"/>
              <w:left w:val="single" w:sz="6" w:space="0" w:color="D5DFED"/>
              <w:bottom w:val="single" w:sz="6" w:space="0" w:color="D5DFED"/>
              <w:right w:val="single" w:sz="6" w:space="0" w:color="D5DFED"/>
            </w:tcBorders>
            <w:vAlign w:val="center"/>
          </w:tcPr>
          <w:p w14:paraId="7AD62F24" w14:textId="77777777" w:rsidR="00C37EED" w:rsidRDefault="00000000">
            <w:pPr>
              <w:spacing w:line="252" w:lineRule="auto"/>
            </w:pPr>
            <w:r>
              <w:rPr>
                <w:rFonts w:ascii="Aptos" w:eastAsia="Aptos" w:hAnsi="Aptos"/>
                <w:color w:val="4F5D78"/>
                <w:sz w:val="19"/>
              </w:rPr>
              <w:t>Adoption becomes limited to selective centers or highly restricted use.</w:t>
            </w:r>
          </w:p>
        </w:tc>
      </w:tr>
      <w:tr w:rsidR="00C37EED" w14:paraId="7CAA8FDC" w14:textId="77777777">
        <w:trPr>
          <w:jc w:val="center"/>
        </w:trPr>
        <w:tc>
          <w:tcPr>
            <w:tcW w:w="172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4CF612AF" w14:textId="77777777" w:rsidR="00C37EED" w:rsidRDefault="00000000">
            <w:pPr>
              <w:spacing w:line="252" w:lineRule="auto"/>
            </w:pPr>
            <w:r>
              <w:rPr>
                <w:rFonts w:ascii="Aptos" w:eastAsia="Aptos" w:hAnsi="Aptos"/>
                <w:color w:val="4F5D78"/>
                <w:sz w:val="19"/>
              </w:rPr>
              <w:t>$80K per event</w:t>
            </w:r>
          </w:p>
        </w:tc>
        <w:tc>
          <w:tcPr>
            <w:tcW w:w="3168"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1737934D" w14:textId="77777777" w:rsidR="00C37EED" w:rsidRDefault="00000000">
            <w:pPr>
              <w:spacing w:line="252" w:lineRule="auto"/>
            </w:pPr>
            <w:r>
              <w:rPr>
                <w:rFonts w:ascii="Aptos" w:eastAsia="Aptos" w:hAnsi="Aptos"/>
                <w:color w:val="4F5D78"/>
                <w:sz w:val="19"/>
              </w:rPr>
              <w:t>Required and likely insufficient</w:t>
            </w:r>
          </w:p>
        </w:tc>
        <w:tc>
          <w:tcPr>
            <w:tcW w:w="4752" w:type="dxa"/>
            <w:tcBorders>
              <w:top w:val="single" w:sz="6" w:space="0" w:color="D5DFED"/>
              <w:left w:val="single" w:sz="6" w:space="0" w:color="D5DFED"/>
              <w:bottom w:val="single" w:sz="6" w:space="0" w:color="D5DFED"/>
              <w:right w:val="single" w:sz="6" w:space="0" w:color="D5DFED"/>
            </w:tcBorders>
            <w:shd w:val="clear" w:color="auto" w:fill="F8FAFD"/>
            <w:vAlign w:val="center"/>
          </w:tcPr>
          <w:p w14:paraId="4A1AAEA3" w14:textId="77777777" w:rsidR="00C37EED" w:rsidRDefault="00000000">
            <w:pPr>
              <w:spacing w:line="252" w:lineRule="auto"/>
            </w:pPr>
            <w:r>
              <w:rPr>
                <w:rFonts w:ascii="Aptos" w:eastAsia="Aptos" w:hAnsi="Aptos"/>
                <w:color w:val="4F5D78"/>
                <w:sz w:val="19"/>
              </w:rPr>
              <w:t>Adoption largely stalls without major reimbursement reform.</w:t>
            </w:r>
          </w:p>
        </w:tc>
      </w:tr>
    </w:tbl>
    <w:p w14:paraId="365DD34C" w14:textId="77777777" w:rsidR="00C37EED" w:rsidRDefault="00000000">
      <w:pPr>
        <w:spacing w:after="160"/>
      </w:pPr>
      <w:r>
        <w:rPr>
          <w:rFonts w:ascii="Aptos" w:eastAsia="Aptos" w:hAnsi="Aptos"/>
          <w:color w:val="4F5D78"/>
          <w:sz w:val="21"/>
        </w:rPr>
        <w:t>Bottom line: hospitals will judge Product X on net financial impact relative to the DRG, not clinical value alone. The major inflection point is the shift from DRG-constrained pricing to NTAP-enabled pricing expansion and then into a reimbursement-dependent adoption threshold, which likely occurs in the $25,000-$35,000 range.</w:t>
      </w:r>
    </w:p>
    <w:p w14:paraId="487FE57F" w14:textId="77777777" w:rsidR="00C37EED" w:rsidRDefault="00000000">
      <w:pPr>
        <w:spacing w:before="320" w:after="120"/>
      </w:pPr>
      <w:r>
        <w:rPr>
          <w:rFonts w:ascii="Georgia" w:eastAsia="Georgia" w:hAnsi="Georgia"/>
          <w:b/>
          <w:color w:val="1C3F92"/>
          <w:sz w:val="30"/>
        </w:rPr>
        <w:t>Section V. NTAP Adoption Implications</w:t>
      </w:r>
    </w:p>
    <w:p w14:paraId="6D941FA3" w14:textId="77777777" w:rsidR="00C37EED" w:rsidRDefault="00000000">
      <w:pPr>
        <w:spacing w:before="160" w:after="100"/>
      </w:pPr>
      <w:r>
        <w:rPr>
          <w:rFonts w:ascii="Georgia" w:eastAsia="Georgia" w:hAnsi="Georgia"/>
          <w:b/>
          <w:color w:val="0F1A30"/>
        </w:rPr>
        <w:t>How does NTAP reduce adoption risk? Please rate it on a scale of 1-5.</w:t>
      </w:r>
    </w:p>
    <w:p w14:paraId="668E9CA2" w14:textId="77777777" w:rsidR="00C37EED" w:rsidRDefault="00000000">
      <w:pPr>
        <w:spacing w:after="160"/>
      </w:pPr>
      <w:r>
        <w:rPr>
          <w:rFonts w:ascii="Aptos" w:eastAsia="Aptos" w:hAnsi="Aptos"/>
          <w:color w:val="4F5D78"/>
          <w:sz w:val="21"/>
        </w:rPr>
        <w:t>As established in Section 0.3, NTAP functions as a commercialization gating factor because it reduces hospital exposure during the period when the DRG has not yet adjusted. The strategic importance in this section is therefore adoption behavior rather than the payment formula itself [6].</w:t>
      </w:r>
    </w:p>
    <w:p w14:paraId="081BECC3" w14:textId="77777777" w:rsidR="00C37EED" w:rsidRDefault="00000000">
      <w:pPr>
        <w:spacing w:after="160"/>
      </w:pPr>
      <w:r>
        <w:rPr>
          <w:rFonts w:ascii="Aptos" w:eastAsia="Aptos" w:hAnsi="Aptos"/>
          <w:color w:val="4F5D78"/>
          <w:sz w:val="21"/>
        </w:rPr>
        <w:t>That does not make Product X automatically profitable, but it can reduce launch-period margin pressure enough to support more use than a purely negative-margin therapy would. I would still rate NTAP at the top of the scale for adoption-risk reduction, while noting that it is not sufficient on its own.</w:t>
      </w:r>
    </w:p>
    <w:p w14:paraId="3256BC9F" w14:textId="77777777" w:rsidR="00C37EED" w:rsidRDefault="00000000">
      <w:pPr>
        <w:spacing w:before="160" w:after="100"/>
      </w:pPr>
      <w:r>
        <w:rPr>
          <w:rFonts w:ascii="Georgia" w:eastAsia="Georgia" w:hAnsi="Georgia"/>
          <w:b/>
          <w:color w:val="0F1A30"/>
        </w:rPr>
        <w:t>Would your organization wait for NTAP before using Product X for all patients?</w:t>
      </w:r>
    </w:p>
    <w:p w14:paraId="448EFA0D" w14:textId="77777777" w:rsidR="00C37EED" w:rsidRDefault="00000000">
      <w:pPr>
        <w:spacing w:after="160"/>
      </w:pPr>
      <w:r>
        <w:rPr>
          <w:rFonts w:ascii="Aptos" w:eastAsia="Aptos" w:hAnsi="Aptos"/>
          <w:color w:val="4F5D78"/>
          <w:sz w:val="21"/>
        </w:rPr>
        <w:t>As established in Section 0.3, NTAP functions as a commercialization gating factor, which means most organizations would not wait for NTAP to treat the first patients, especially academic stroke centers and other early adopters, but they likely would wait for NTAP before standardizing broad use across all eligible patients.</w:t>
      </w:r>
    </w:p>
    <w:p w14:paraId="3C1B99D7" w14:textId="77777777" w:rsidR="00C37EED" w:rsidRDefault="00000000">
      <w:pPr>
        <w:spacing w:after="160"/>
      </w:pPr>
      <w:r>
        <w:rPr>
          <w:rFonts w:ascii="Aptos" w:eastAsia="Aptos" w:hAnsi="Aptos"/>
          <w:color w:val="4F5D78"/>
          <w:sz w:val="21"/>
        </w:rPr>
        <w:t>Pre-NTAP use is most likely to be restricted, committee-reviewed, and concentrated in centers willing to absorb early margin risk. NTAP is what can move Product X from selective use toward broader protocol consideration if the residual loss and operational burden remain manageable.</w:t>
      </w:r>
    </w:p>
    <w:p w14:paraId="09E9B423" w14:textId="77777777" w:rsidR="00C37EED" w:rsidRDefault="00000000">
      <w:pPr>
        <w:spacing w:before="160" w:after="100"/>
      </w:pPr>
      <w:r>
        <w:rPr>
          <w:rFonts w:ascii="Georgia" w:eastAsia="Georgia" w:hAnsi="Georgia"/>
          <w:b/>
          <w:color w:val="0F1A30"/>
        </w:rPr>
        <w:t>Please estimate the percentage of adoption under different reimbursement scenarios.</w:t>
      </w:r>
    </w:p>
    <w:p w14:paraId="65B04CD3" w14:textId="77777777" w:rsidR="00C37EED" w:rsidRDefault="00000000">
      <w:pPr>
        <w:spacing w:after="160"/>
      </w:pPr>
      <w:r>
        <w:rPr>
          <w:rFonts w:ascii="Aptos" w:eastAsia="Aptos" w:hAnsi="Aptos"/>
          <w:color w:val="4F5D78"/>
          <w:sz w:val="21"/>
        </w:rPr>
        <w:t>The adoption curve is likely to follow reimbursement alignment rather than clinical interest alone. As a directional planning view rather than a forecast, pre-NTAP use may remain concentrated in roughly the 10%-20% range of eligible patients, NTAP-supported use may move into a broader but still managed range of roughly 30%-50% if hospital committees view the residual economic and operational burden as manageable, and adoption would become materially broader only if permanent payment alignment later emerges.</w:t>
      </w:r>
    </w:p>
    <w:p w14:paraId="378017A4" w14:textId="77777777" w:rsidR="00C37EED" w:rsidRDefault="00000000">
      <w:r>
        <w:br w:type="page"/>
      </w:r>
    </w:p>
    <w:p w14:paraId="4817B203" w14:textId="77777777" w:rsidR="00C37EED" w:rsidRDefault="00000000">
      <w:pPr>
        <w:spacing w:before="320" w:after="120"/>
      </w:pPr>
      <w:r>
        <w:rPr>
          <w:rFonts w:ascii="Georgia" w:eastAsia="Georgia" w:hAnsi="Georgia"/>
          <w:b/>
          <w:color w:val="1C3F92"/>
          <w:sz w:val="30"/>
        </w:rPr>
        <w:t>References</w:t>
      </w:r>
    </w:p>
    <w:p w14:paraId="50150936" w14:textId="77777777" w:rsidR="00C37EED" w:rsidRDefault="00000000">
      <w:pPr>
        <w:spacing w:after="100"/>
      </w:pPr>
      <w:r>
        <w:rPr>
          <w:rFonts w:ascii="Aptos" w:eastAsia="Aptos" w:hAnsi="Aptos"/>
          <w:b/>
          <w:color w:val="1C3F92"/>
          <w:sz w:val="20"/>
        </w:rPr>
        <w:t xml:space="preserve">[1] </w:t>
      </w:r>
      <w:r>
        <w:rPr>
          <w:rFonts w:ascii="Aptos" w:eastAsia="Aptos" w:hAnsi="Aptos"/>
          <w:color w:val="4F5D78"/>
          <w:sz w:val="20"/>
        </w:rPr>
        <w:t>Access in Vivo. Product X payer and hospital discussion questions pre-read. Sponsor material provided for discussion preparation.</w:t>
      </w:r>
    </w:p>
    <w:p w14:paraId="520F3A94" w14:textId="77777777" w:rsidR="00C37EED" w:rsidRDefault="00000000">
      <w:pPr>
        <w:spacing w:after="100"/>
      </w:pPr>
      <w:r>
        <w:rPr>
          <w:rFonts w:ascii="Aptos" w:eastAsia="Aptos" w:hAnsi="Aptos"/>
          <w:b/>
          <w:color w:val="1C3F92"/>
          <w:sz w:val="20"/>
        </w:rPr>
        <w:t xml:space="preserve">[2] </w:t>
      </w:r>
      <w:r>
        <w:rPr>
          <w:rFonts w:ascii="Aptos" w:eastAsia="Aptos" w:hAnsi="Aptos"/>
          <w:color w:val="4F5D78"/>
          <w:sz w:val="20"/>
        </w:rPr>
        <w:t>Executive Summary Product X. Sponsor material summarizing Product X value story, coding path, and NTAP framing.</w:t>
      </w:r>
    </w:p>
    <w:p w14:paraId="2D471110" w14:textId="77777777" w:rsidR="00C37EED" w:rsidRDefault="00000000">
      <w:pPr>
        <w:spacing w:after="100"/>
      </w:pPr>
      <w:r>
        <w:rPr>
          <w:rFonts w:ascii="Aptos" w:eastAsia="Aptos" w:hAnsi="Aptos"/>
          <w:b/>
          <w:color w:val="1C3F92"/>
          <w:sz w:val="20"/>
        </w:rPr>
        <w:t xml:space="preserve">[3] </w:t>
      </w:r>
      <w:r>
        <w:rPr>
          <w:rFonts w:ascii="Aptos" w:eastAsia="Aptos" w:hAnsi="Aptos"/>
          <w:color w:val="4F5D78"/>
          <w:sz w:val="20"/>
        </w:rPr>
        <w:t>Seker F, et al. Reperfusion Without Functional Independence in Late Presentation of Stroke With Large Vessel Occlusion. Stroke. 2022;53(12):3594-3604. PubMed: https://pubmed.ncbi.nlm.nih.gov/36252092/</w:t>
      </w:r>
    </w:p>
    <w:p w14:paraId="1A666FBA" w14:textId="77777777" w:rsidR="00C37EED" w:rsidRDefault="00000000">
      <w:pPr>
        <w:spacing w:after="100"/>
      </w:pPr>
      <w:r>
        <w:rPr>
          <w:rFonts w:ascii="Aptos" w:eastAsia="Aptos" w:hAnsi="Aptos"/>
          <w:b/>
          <w:color w:val="1C3F92"/>
          <w:sz w:val="20"/>
        </w:rPr>
        <w:t xml:space="preserve">[4] </w:t>
      </w:r>
      <w:r>
        <w:rPr>
          <w:rFonts w:ascii="Aptos" w:eastAsia="Aptos" w:hAnsi="Aptos"/>
          <w:color w:val="4F5D78"/>
          <w:sz w:val="20"/>
        </w:rPr>
        <w:t>Mu F, Hurley D, Betts KA, et al. Real-world costs of ischemic stroke by discharge status. Curr Med Res Opin. 2017;33(2):371-378. PubMed: https://pubmed.ncbi.nlm.nih.gov/27826997/</w:t>
      </w:r>
    </w:p>
    <w:p w14:paraId="66D8EF09" w14:textId="77777777" w:rsidR="00C37EED" w:rsidRDefault="00000000">
      <w:pPr>
        <w:spacing w:after="100"/>
      </w:pPr>
      <w:r>
        <w:rPr>
          <w:rFonts w:ascii="Aptos" w:eastAsia="Aptos" w:hAnsi="Aptos"/>
          <w:b/>
          <w:color w:val="1C3F92"/>
          <w:sz w:val="20"/>
        </w:rPr>
        <w:t xml:space="preserve">[5] </w:t>
      </w:r>
      <w:r>
        <w:rPr>
          <w:rFonts w:ascii="Aptos" w:eastAsia="Aptos" w:hAnsi="Aptos"/>
          <w:color w:val="4F5D78"/>
          <w:sz w:val="20"/>
        </w:rPr>
        <w:t>Campbell BCV, et al. Endovascular Thrombectomy for Ischemic Stroke Increases Disability-Free Survival, Quality of Life, and Life Expectancy and Reduces Cost. Int J Stroke. 2018;13(3):249-257. PubMed: https://pubmed.ncbi.nlm.nih.gov/29312109/</w:t>
      </w:r>
    </w:p>
    <w:p w14:paraId="2B571C84" w14:textId="77777777" w:rsidR="00C37EED" w:rsidRDefault="00000000">
      <w:pPr>
        <w:spacing w:after="100"/>
      </w:pPr>
      <w:r>
        <w:rPr>
          <w:rFonts w:ascii="Aptos" w:eastAsia="Aptos" w:hAnsi="Aptos"/>
          <w:b/>
          <w:color w:val="1C3F92"/>
          <w:sz w:val="20"/>
        </w:rPr>
        <w:t xml:space="preserve">[6] </w:t>
      </w:r>
      <w:r>
        <w:rPr>
          <w:rFonts w:ascii="Aptos" w:eastAsia="Aptos" w:hAnsi="Aptos"/>
          <w:color w:val="4F5D78"/>
          <w:sz w:val="20"/>
        </w:rPr>
        <w:t>Centers for Medicare &amp; Medicaid Services. New Medical Services and New Technologies. https://www.cms.gov/medicare/payment/prospective-payment-systems/acute-inpatient-pps/new-medical-services-and-new-technologies</w:t>
      </w:r>
    </w:p>
    <w:p w14:paraId="47EDAB2D" w14:textId="77777777" w:rsidR="00C37EED" w:rsidRDefault="00000000">
      <w:pPr>
        <w:spacing w:after="100"/>
      </w:pPr>
      <w:r>
        <w:rPr>
          <w:rFonts w:ascii="Aptos" w:eastAsia="Aptos" w:hAnsi="Aptos"/>
          <w:b/>
          <w:color w:val="1C3F92"/>
          <w:sz w:val="20"/>
        </w:rPr>
        <w:t xml:space="preserve">[7] </w:t>
      </w:r>
      <w:r>
        <w:rPr>
          <w:rFonts w:ascii="Aptos" w:eastAsia="Aptos" w:hAnsi="Aptos"/>
          <w:color w:val="4F5D78"/>
          <w:sz w:val="20"/>
        </w:rPr>
        <w:t>Chaudhry SA, et al. Factors associated with prolonged intensive unit stay following mechanical thrombectomy for acute ischemic stroke. Neurol Res. 2025. PubMed: https://pubmed.ncbi.nlm.nih.gov/40940303/</w:t>
      </w:r>
    </w:p>
    <w:p w14:paraId="03CCB22C" w14:textId="77777777" w:rsidR="00C37EED" w:rsidRDefault="00000000">
      <w:pPr>
        <w:spacing w:after="100"/>
      </w:pPr>
      <w:r>
        <w:rPr>
          <w:rFonts w:ascii="Aptos" w:eastAsia="Aptos" w:hAnsi="Aptos"/>
          <w:b/>
          <w:color w:val="1C3F92"/>
          <w:sz w:val="20"/>
        </w:rPr>
        <w:t xml:space="preserve">[8] </w:t>
      </w:r>
      <w:r>
        <w:rPr>
          <w:rFonts w:ascii="Aptos" w:eastAsia="Aptos" w:hAnsi="Aptos"/>
          <w:color w:val="4F5D78"/>
          <w:sz w:val="20"/>
        </w:rPr>
        <w:t>Electronic Code of Federal Regulations. 42 CFR 412.87 and 412.88, additional payment for new medical services and technologies. https://www.ecfr.gov/current/title-42/chapter-IV/subchapter-B/part-412/subpart-F</w:t>
      </w:r>
    </w:p>
    <w:p w14:paraId="5EDBE6C6" w14:textId="77777777" w:rsidR="00C37EED" w:rsidRDefault="00000000">
      <w:pPr>
        <w:spacing w:after="100"/>
      </w:pPr>
      <w:r>
        <w:rPr>
          <w:rFonts w:ascii="Aptos" w:eastAsia="Aptos" w:hAnsi="Aptos"/>
          <w:b/>
          <w:color w:val="1C3F92"/>
          <w:sz w:val="20"/>
        </w:rPr>
        <w:t xml:space="preserve">[9] </w:t>
      </w:r>
      <w:r>
        <w:rPr>
          <w:rFonts w:ascii="Aptos" w:eastAsia="Aptos" w:hAnsi="Aptos"/>
          <w:color w:val="4F5D78"/>
          <w:sz w:val="20"/>
        </w:rPr>
        <w:t>Centers for Medicare &amp; Medicaid Services. Process for Requesting New/Revised ICD-10-PCS Procedure Codes. https://www.cms.gov/medicare/coding-billing/icd-10-codes/process-for-requesting-new-revised-icd-10-pcs-procedure-codes</w:t>
      </w:r>
    </w:p>
    <w:p w14:paraId="35311AE3" w14:textId="77777777" w:rsidR="00C37EED" w:rsidRDefault="00000000">
      <w:pPr>
        <w:spacing w:after="100"/>
      </w:pPr>
      <w:r>
        <w:rPr>
          <w:rFonts w:ascii="Aptos" w:eastAsia="Aptos" w:hAnsi="Aptos"/>
          <w:b/>
          <w:color w:val="1C3F92"/>
          <w:sz w:val="20"/>
        </w:rPr>
        <w:t xml:space="preserve">[10] </w:t>
      </w:r>
      <w:r>
        <w:rPr>
          <w:rFonts w:ascii="Aptos" w:eastAsia="Aptos" w:hAnsi="Aptos"/>
          <w:color w:val="4F5D78"/>
          <w:sz w:val="20"/>
        </w:rPr>
        <w:t>Centers for Medicare &amp; Medicaid Services. Using the ICD-10-PCS New Technology Section Codes. https://www.cms.gov/files/document/using-icd-10-pcs-new-technology-section-codes.pdf</w:t>
      </w:r>
    </w:p>
    <w:p w14:paraId="37E151F4" w14:textId="77777777" w:rsidR="00C37EED" w:rsidRDefault="00000000">
      <w:pPr>
        <w:spacing w:after="100"/>
      </w:pPr>
      <w:r>
        <w:rPr>
          <w:rFonts w:ascii="Aptos" w:eastAsia="Aptos" w:hAnsi="Aptos"/>
          <w:b/>
          <w:color w:val="1C3F92"/>
          <w:sz w:val="20"/>
        </w:rPr>
        <w:t xml:space="preserve">[11] </w:t>
      </w:r>
      <w:r>
        <w:rPr>
          <w:rFonts w:ascii="Aptos" w:eastAsia="Aptos" w:hAnsi="Aptos"/>
          <w:color w:val="4F5D78"/>
          <w:sz w:val="20"/>
        </w:rPr>
        <w:t>Centers for Medicare &amp; Medicaid Services. Overview of Coding &amp; Classification Systems. https://www.cms.gov/cms-guide-medical-technology-companies-and-other-interested-parties/coding/overview-coding-classification-systems</w:t>
      </w:r>
    </w:p>
    <w:p w14:paraId="5A11CF29" w14:textId="77777777" w:rsidR="00C37EED" w:rsidRDefault="00000000">
      <w:pPr>
        <w:spacing w:after="100"/>
      </w:pPr>
      <w:r>
        <w:rPr>
          <w:rFonts w:ascii="Aptos" w:eastAsia="Aptos" w:hAnsi="Aptos"/>
          <w:b/>
          <w:color w:val="1C3F92"/>
          <w:sz w:val="20"/>
        </w:rPr>
        <w:t xml:space="preserve">[12] </w:t>
      </w:r>
      <w:r>
        <w:rPr>
          <w:rFonts w:ascii="Aptos" w:eastAsia="Aptos" w:hAnsi="Aptos"/>
          <w:color w:val="4F5D78"/>
          <w:sz w:val="20"/>
        </w:rPr>
        <w:t>Centers for Medicare &amp; Medicaid Services. MM13734: Inpatient &amp; Long-Term Care Hospital Prospective Payment Systems: FY 2025 Changes. https://www.cms.gov/files/document/mm13734-inpatient-long-term-care-hospital-prospective-payment-system-fy-2025-changes.pdf</w:t>
      </w:r>
    </w:p>
    <w:p w14:paraId="784549B5" w14:textId="77777777" w:rsidR="00C37EED" w:rsidRDefault="00000000">
      <w:pPr>
        <w:spacing w:after="100"/>
      </w:pPr>
      <w:r>
        <w:rPr>
          <w:rFonts w:ascii="Aptos" w:eastAsia="Aptos" w:hAnsi="Aptos"/>
          <w:b/>
          <w:color w:val="1C3F92"/>
          <w:sz w:val="20"/>
        </w:rPr>
        <w:t xml:space="preserve">[13] </w:t>
      </w:r>
      <w:r>
        <w:rPr>
          <w:rFonts w:ascii="Aptos" w:eastAsia="Aptos" w:hAnsi="Aptos"/>
          <w:color w:val="4F5D78"/>
          <w:sz w:val="20"/>
        </w:rPr>
        <w:t>Centers for Medicare &amp; Medicaid Services. MM14203: Inpatient &amp; Long-Term Care Hospital Prospective Payment Systems: FY 2026 Changes. https://www.cms.gov/files/document/mm14203-inpatient-long-term-care-hospital-prospective-payment-systems-fy-2026-changes.pdf</w:t>
      </w:r>
    </w:p>
    <w:p w14:paraId="1529A196" w14:textId="77777777" w:rsidR="00C37EED" w:rsidRDefault="00000000">
      <w:pPr>
        <w:spacing w:after="100"/>
      </w:pPr>
      <w:r>
        <w:rPr>
          <w:rFonts w:ascii="Aptos" w:eastAsia="Aptos" w:hAnsi="Aptos"/>
          <w:b/>
          <w:color w:val="1C3F92"/>
          <w:sz w:val="20"/>
        </w:rPr>
        <w:t xml:space="preserve">[14] </w:t>
      </w:r>
      <w:r>
        <w:rPr>
          <w:rFonts w:ascii="Aptos" w:eastAsia="Aptos" w:hAnsi="Aptos"/>
          <w:color w:val="4F5D78"/>
          <w:sz w:val="20"/>
        </w:rPr>
        <w:t>Centers for Medicare &amp; Medicaid Services. FY 2023 Hospital Inpatient Prospective Payment System (IPPS) and Long-Term Care Hospital Prospective Payment System (LTCH PPS) Final Rule Fact Sheet. https://www.cms.gov/newsroom/fact-sheets/fy-2023-hospital-inpatient-prospective-payment-system-ipps-and-long-term-care-hospital-prospective</w:t>
      </w:r>
    </w:p>
    <w:p w14:paraId="7928C27E" w14:textId="77777777" w:rsidR="00C37EED" w:rsidRDefault="00000000">
      <w:pPr>
        <w:spacing w:after="100"/>
      </w:pPr>
      <w:r>
        <w:rPr>
          <w:rFonts w:ascii="Aptos" w:eastAsia="Aptos" w:hAnsi="Aptos"/>
          <w:b/>
          <w:color w:val="1C3F92"/>
          <w:sz w:val="20"/>
        </w:rPr>
        <w:t xml:space="preserve">[15] </w:t>
      </w:r>
      <w:r>
        <w:rPr>
          <w:rFonts w:ascii="Aptos" w:eastAsia="Aptos" w:hAnsi="Aptos"/>
          <w:color w:val="4F5D78"/>
          <w:sz w:val="20"/>
        </w:rPr>
        <w:t>Centers for Medicare &amp; Medicaid Services. ICD-10 Coordination and Maintenance Committee Meeting - September 10, 2024 ICD-10-PCS Therapeutic Agent Topics. https://www.cms.gov/files/document/september-10-2024-icd-10-pcs-therapeutic-agents-topics.pdf</w:t>
      </w:r>
    </w:p>
    <w:p w14:paraId="2BBA5529" w14:textId="77777777" w:rsidR="00C37EED" w:rsidRDefault="00000000">
      <w:pPr>
        <w:spacing w:after="100"/>
      </w:pPr>
      <w:r>
        <w:rPr>
          <w:rFonts w:ascii="Aptos" w:eastAsia="Aptos" w:hAnsi="Aptos"/>
          <w:b/>
          <w:color w:val="1C3F92"/>
          <w:sz w:val="20"/>
        </w:rPr>
        <w:t xml:space="preserve">[16] </w:t>
      </w:r>
      <w:r>
        <w:rPr>
          <w:rFonts w:ascii="Aptos" w:eastAsia="Aptos" w:hAnsi="Aptos"/>
          <w:color w:val="4F5D78"/>
          <w:sz w:val="20"/>
        </w:rPr>
        <w:t>Centers for Medicare &amp; Medicaid Services. Medicare Fee-For-Service Provider Utilization &amp; Payment Data: Inpatient Public Use File Methodological Overview. https://data.cms.gov/sites/default/files/2023-05/a4c5a5a8-2c6b-4104-a730-c7c3bd71ace3/MUP_INP_RY23_20230425_Methodology_508.pdf</w:t>
      </w:r>
    </w:p>
    <w:p w14:paraId="2661C343" w14:textId="77777777" w:rsidR="00C37EED" w:rsidRDefault="00000000">
      <w:pPr>
        <w:spacing w:after="100"/>
      </w:pPr>
      <w:r>
        <w:rPr>
          <w:rFonts w:ascii="Aptos" w:eastAsia="Aptos" w:hAnsi="Aptos"/>
          <w:b/>
          <w:color w:val="1C3F92"/>
          <w:sz w:val="20"/>
        </w:rPr>
        <w:t xml:space="preserve">[17] </w:t>
      </w:r>
      <w:r>
        <w:rPr>
          <w:rFonts w:ascii="Aptos" w:eastAsia="Aptos" w:hAnsi="Aptos"/>
          <w:color w:val="4F5D78"/>
          <w:sz w:val="20"/>
        </w:rPr>
        <w:t>Centers for Medicare &amp; Medicaid Services. CMS Guide for Medical Technology Companies and Other Interested Parties - IPPS. https://www.cms.gov/cms-guide-medical-technology-companies-and-other-interested-parties/payment/ipps</w:t>
      </w:r>
    </w:p>
    <w:sectPr w:rsidR="00C37EED" w:rsidSect="00034616">
      <w:headerReference w:type="default" r:id="rId8"/>
      <w:footerReference w:type="default" r:id="rId9"/>
      <w:pgSz w:w="12240" w:h="15840"/>
      <w:pgMar w:top="1080"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8CB2F" w14:textId="77777777" w:rsidR="005D0EDB" w:rsidRDefault="005D0EDB">
      <w:pPr>
        <w:spacing w:after="0" w:line="240" w:lineRule="auto"/>
      </w:pPr>
      <w:r>
        <w:separator/>
      </w:r>
    </w:p>
  </w:endnote>
  <w:endnote w:type="continuationSeparator" w:id="0">
    <w:p w14:paraId="5CD000EC" w14:textId="77777777" w:rsidR="005D0EDB" w:rsidRDefault="005D0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BB9B" w14:textId="77777777" w:rsidR="00C37EED" w:rsidRDefault="00000000">
    <w:pPr>
      <w:pStyle w:val="Footer"/>
      <w:jc w:val="center"/>
    </w:pPr>
    <w:r>
      <w:rPr>
        <w:rFonts w:ascii="Aptos" w:eastAsia="Aptos" w:hAnsi="Aptos"/>
        <w:color w:val="4F5D78"/>
        <w:sz w:val="17"/>
      </w:rPr>
      <w:t xml:space="preserve">Project X Discussion Guide | Page </w:t>
    </w: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35E7A" w14:textId="77777777" w:rsidR="005D0EDB" w:rsidRDefault="005D0EDB">
      <w:pPr>
        <w:spacing w:after="0" w:line="240" w:lineRule="auto"/>
      </w:pPr>
      <w:r>
        <w:separator/>
      </w:r>
    </w:p>
  </w:footnote>
  <w:footnote w:type="continuationSeparator" w:id="0">
    <w:p w14:paraId="762B8835" w14:textId="77777777" w:rsidR="005D0EDB" w:rsidRDefault="005D0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649E" w14:textId="77777777" w:rsidR="00C37EED" w:rsidRDefault="00000000">
    <w:pPr>
      <w:pStyle w:val="Header"/>
      <w:jc w:val="right"/>
    </w:pPr>
    <w:r>
      <w:rPr>
        <w:rFonts w:ascii="Aptos" w:eastAsia="Aptos" w:hAnsi="Aptos"/>
        <w:b/>
        <w:color w:val="1C3F92"/>
        <w:sz w:val="19"/>
      </w:rPr>
      <w:t>JL Policy Consulting,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530310">
    <w:abstractNumId w:val="8"/>
  </w:num>
  <w:num w:numId="2" w16cid:durableId="625739274">
    <w:abstractNumId w:val="6"/>
  </w:num>
  <w:num w:numId="3" w16cid:durableId="361781785">
    <w:abstractNumId w:val="5"/>
  </w:num>
  <w:num w:numId="4" w16cid:durableId="391731088">
    <w:abstractNumId w:val="4"/>
  </w:num>
  <w:num w:numId="5" w16cid:durableId="585697982">
    <w:abstractNumId w:val="7"/>
  </w:num>
  <w:num w:numId="6" w16cid:durableId="747969811">
    <w:abstractNumId w:val="3"/>
  </w:num>
  <w:num w:numId="7" w16cid:durableId="184634354">
    <w:abstractNumId w:val="2"/>
  </w:num>
  <w:num w:numId="8" w16cid:durableId="1940289829">
    <w:abstractNumId w:val="1"/>
  </w:num>
  <w:num w:numId="9" w16cid:durableId="209377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99"/>
    <w:rsid w:val="0015074B"/>
    <w:rsid w:val="0029639D"/>
    <w:rsid w:val="00326F90"/>
    <w:rsid w:val="00423463"/>
    <w:rsid w:val="005D0EDB"/>
    <w:rsid w:val="00AA1D8D"/>
    <w:rsid w:val="00B47730"/>
    <w:rsid w:val="00C37EED"/>
    <w:rsid w:val="00CB0664"/>
    <w:rsid w:val="00CF46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B5A42"/>
  <w14:defaultImageDpi w14:val="300"/>
  <w15:docId w15:val="{96D3B502-A9AD-AB4B-B89A-2D020AC3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4938</Words>
  <Characters>28153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Project X Discussion Questions and Answers</vt:lpstr>
    </vt:vector>
  </TitlesOfParts>
  <Manager/>
  <Company/>
  <LinksUpToDate>false</LinksUpToDate>
  <CharactersWithSpaces>33025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X Discussion Questions and Answers</dc:title>
  <dc:subject>Formatted discussion guide with JL Policy Consulting branding</dc:subject>
  <dc:creator>Codex for JL Policy Consulting, LLC</dc:creator>
  <cp:keywords/>
  <dc:description>generated by python-docx</dc:description>
  <cp:lastModifiedBy>Joseph Stewart</cp:lastModifiedBy>
  <cp:revision>2</cp:revision>
  <dcterms:created xsi:type="dcterms:W3CDTF">2013-12-23T23:15:00Z</dcterms:created>
  <dcterms:modified xsi:type="dcterms:W3CDTF">2026-03-30T03:56:00Z</dcterms:modified>
  <cp:category/>
</cp:coreProperties>
</file>