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27B71" w14:textId="77777777" w:rsidR="0027634F" w:rsidRPr="0027634F" w:rsidRDefault="0027634F" w:rsidP="0027634F">
      <w:pPr>
        <w:pStyle w:val="Title"/>
        <w:spacing w:after="120" w:before="0" w:line="276" w:lineRule="auto"/>
        <w:outlineLvl w:val="0"/>
        <w:rPr>
          <w:rFonts w:ascii="Times New Roman" w:eastAsia="Times New Roman" w:hAnsi="Times New Roman" w:cs="Times New Roman"/>
          <w:b/>
          <w:bCs/>
          <w:kern w:val="36"/>
          <w:sz w:val="48"/>
          <w:szCs w:val="48"/>
          <w14:ligatures w14:val="none"/>
        </w:rPr>
      </w:pPr>
      <w:r w:rsidRPr="0027634F">
        <w:rPr>
          <w:rFonts w:ascii="Calibri" w:eastAsia="Calibri" w:hAnsi="Calibri" w:cs="Calibri"/>
          <w:b/>
          <w:bCs/>
          <w:kern w:val="36"/>
          <w:sz w:val="22"/>
          <w:szCs w:val="48"/>
          <w14:ligatures w14:val="none"/>
        </w:rPr>
        <w:t>Adrabetadex ARM Training Fact Matrix</w:t>
      </w:r>
    </w:p>
    <w:p w14:paraId="39F694E3" w14:textId="77777777" w:rsidR="0027634F" w:rsidRPr="0027634F" w:rsidRDefault="0027634F" w:rsidP="0027634F">
      <w:pPr>
        <w:pStyle w:val="Heading2"/>
        <w:spacing w:after="120" w:before="0" w:line="276" w:lineRule="auto"/>
        <w:outlineLvl w:val="1"/>
        <w:rPr>
          <w:rFonts w:ascii="Times New Roman" w:eastAsia="Times New Roman" w:hAnsi="Times New Roman" w:cs="Times New Roman"/>
          <w:b/>
          <w:bCs/>
          <w:kern w:val="0"/>
          <w:sz w:val="36"/>
          <w:szCs w:val="36"/>
          <w14:ligatures w14:val="none"/>
        </w:rPr>
      </w:pPr>
      <w:r>
        <w:rPr>
          <w:rFonts w:ascii="Calibri" w:hAnsi="Calibri" w:eastAsia="Calibri" w:cs="Calibri"/>
          <w:sz w:val="22"/>
        </w:rPr>
        <w:t>Working Frame and Master Assumption Source</w:t>
      </w:r>
    </w:p>
    <w:p w14:paraId="43BAA573"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rPr>
          <w:rFonts w:ascii="Calibri" w:hAnsi="Calibri" w:eastAsia="Calibri" w:cs="Calibri"/>
          <w:sz w:val="22"/>
        </w:rPr>
        <w:t>This matrix is the master assumptions source for the Adrabetadex ARM package. Downstream materials should align to this matrix and avoid duplicating assumption logic unless operational detail is needed.</w:t>
      </w:r>
    </w:p>
    <w:p w14:paraId="6A6A1693"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Launch WAC:</w:t>
      </w:r>
      <w:r w:rsidRPr="0027634F">
        <w:rPr>
          <w:rFonts w:ascii="Calibri" w:eastAsia="Calibri" w:hAnsi="Calibri" w:cs="Calibri"/>
          <w:kern w:val="0"/>
          <w14:ligatures w14:val="none"/>
          <w:sz w:val="22"/>
        </w:rPr>
        <w:t xml:space="preserve"> $39,000 per 900 mg vial</w:t>
      </w:r>
    </w:p>
    <w:p w14:paraId="02F0F187"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Dosing:</w:t>
      </w:r>
      <w:r w:rsidRPr="0027634F">
        <w:rPr>
          <w:rFonts w:ascii="Calibri" w:eastAsia="Calibri" w:hAnsi="Calibri" w:cs="Calibri"/>
          <w:kern w:val="0"/>
          <w14:ligatures w14:val="none"/>
          <w:sz w:val="22"/>
        </w:rPr>
        <w:t xml:space="preserve"> every two weeks</w:t>
      </w:r>
    </w:p>
    <w:p w14:paraId="706E7FA3"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Annual gross WAC exposure:</w:t>
      </w:r>
      <w:r w:rsidRPr="0027634F">
        <w:rPr>
          <w:rFonts w:ascii="Calibri" w:eastAsia="Calibri" w:hAnsi="Calibri" w:cs="Calibri"/>
          <w:kern w:val="0"/>
          <w14:ligatures w14:val="none"/>
          <w:sz w:val="22"/>
        </w:rPr>
        <w:t xml:space="preserve"> $1,014,000 per patient</w:t>
      </w:r>
    </w:p>
    <w:p w14:paraId="5A2387E0"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Pre-ASP period:</w:t>
      </w:r>
      <w:r w:rsidRPr="0027634F">
        <w:rPr>
          <w:rFonts w:ascii="Calibri" w:eastAsia="Calibri" w:hAnsi="Calibri" w:cs="Calibri"/>
          <w:kern w:val="0"/>
          <w14:ligatures w14:val="none"/>
          <w:sz w:val="22"/>
        </w:rPr>
        <w:t xml:space="preserve"> approximately first two quarters after launch</w:t>
      </w:r>
    </w:p>
    <w:p w14:paraId="2020904B"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OPPS pass-through effective date:</w:t>
      </w:r>
      <w:r w:rsidRPr="0027634F">
        <w:rPr>
          <w:rFonts w:ascii="Calibri" w:eastAsia="Calibri" w:hAnsi="Calibri" w:cs="Calibri"/>
          <w:kern w:val="0"/>
          <w14:ligatures w14:val="none"/>
          <w:sz w:val="22"/>
        </w:rPr>
        <w:t xml:space="preserve"> January 1, 2027</w:t>
      </w:r>
    </w:p>
    <w:p w14:paraId="1C4C40A6"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Permanent HCPCS effective date:</w:t>
      </w:r>
      <w:r w:rsidRPr="0027634F">
        <w:rPr>
          <w:rFonts w:ascii="Calibri" w:eastAsia="Calibri" w:hAnsi="Calibri" w:cs="Calibri"/>
          <w:kern w:val="0"/>
          <w14:ligatures w14:val="none"/>
          <w:sz w:val="22"/>
        </w:rPr>
        <w:t xml:space="preserve"> April 1, 2027</w:t>
      </w:r>
    </w:p>
    <w:p w14:paraId="3458EB02"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Primary customers:</w:t>
      </w:r>
      <w:r w:rsidRPr="0027634F">
        <w:rPr>
          <w:rFonts w:ascii="Calibri" w:eastAsia="Calibri" w:hAnsi="Calibri" w:cs="Calibri"/>
          <w:kern w:val="0"/>
          <w14:ligatures w14:val="none"/>
          <w:sz w:val="22"/>
        </w:rPr>
        <w:t xml:space="preserve"> centers of excellence</w:t>
      </w:r>
    </w:p>
    <w:p w14:paraId="523C893C"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340B status:</w:t>
      </w:r>
      <w:r w:rsidRPr="0027634F">
        <w:rPr>
          <w:rFonts w:ascii="Calibri" w:eastAsia="Calibri" w:hAnsi="Calibri" w:cs="Calibri"/>
          <w:kern w:val="0"/>
          <w14:ligatures w14:val="none"/>
          <w:sz w:val="22"/>
        </w:rPr>
        <w:t xml:space="preserve"> assume target COEs are 340B entities</w:t>
      </w:r>
    </w:p>
    <w:p w14:paraId="7769B702"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Commercial friction:</w:t>
      </w:r>
      <w:r w:rsidRPr="0027634F">
        <w:rPr>
          <w:rFonts w:ascii="Calibri" w:eastAsia="Calibri" w:hAnsi="Calibri" w:cs="Calibri"/>
          <w:kern w:val="0"/>
          <w14:ligatures w14:val="none"/>
          <w:sz w:val="22"/>
        </w:rPr>
        <w:t xml:space="preserve"> valid and expected, but mitigated through Beren-provided ARM and patient-access tools</w:t>
      </w:r>
    </w:p>
    <w:p w14:paraId="2D9EBD5E" w14:textId="77777777" w:rsidR="0027634F" w:rsidRPr="0027634F" w:rsidRDefault="0027634F" w:rsidP="0027634F">
      <w:pPr>
        <w:numPr>
          <w:ilvl w:val="0"/>
          <w:numId w:val="1"/>
        </w:numPr>
        <w:spacing w:after="120" w:before="0" w:line="276" w:lineRule="auto"/>
        <w:rPr>
          <w:rFonts w:ascii="Times New Roman" w:eastAsia="Times New Roman" w:hAnsi="Times New Roman" w:cs="Times New Roman"/>
          <w:kern w:val="0"/>
          <w14:ligatures w14:val="none"/>
        </w:rPr>
      </w:pPr>
      <w:r>
        <w:rPr>
          <w:rFonts w:ascii="Calibri" w:hAnsi="Calibri" w:eastAsia="Calibri" w:cs="Calibri"/>
          <w:sz w:val="22"/>
        </w:rPr>
        <w:t>Core value story: scenario-specific economics with a COE-led 340B default and non-340B sensitivity analysis.</w:t>
      </w:r>
    </w:p>
    <w:p>
      <w:pPr>
        <w:spacing w:after="120" w:before="0" w:line="276" w:lineRule="auto"/>
      </w:pPr>
      <w:r>
        <w:rPr>
          <w:rFonts w:ascii="Calibri" w:hAnsi="Calibri" w:eastAsia="Calibri" w:cs="Calibri"/>
          <w:sz w:val="22"/>
        </w:rPr>
        <w:t>Master Assumption Register and Status Labels</w:t>
      </w:r>
    </w:p>
    <w:p>
      <w:pPr>
        <w:spacing w:after="120" w:before="0" w:line="276" w:lineRule="auto"/>
      </w:pPr>
      <w:r>
        <w:rPr>
          <w:rFonts w:ascii="Calibri" w:hAnsi="Calibri" w:eastAsia="Calibri" w:cs="Calibri"/>
          <w:sz w:val="22"/>
        </w:rPr>
        <w:t>Status labels: Confirmed/supplied assumption; Planning assumption; Modeling assumption; External validation needed.</w:t>
      </w:r>
    </w:p>
    <w:tbl>
      <w:tblPr>
        <w:tblW w:type="auto" w:w="0"/>
        <w:tblLook w:firstColumn="1" w:firstRow="1" w:lastColumn="0" w:lastRow="0" w:noHBand="0" w:noVBand="1" w:val="04A0"/>
      </w:tblPr>
      <w:tblGrid>
        <w:gridCol w:w="2340"/>
        <w:gridCol w:w="2340"/>
        <w:gridCol w:w="2340"/>
        <w:gridCol w:w="2340"/>
      </w:tblGrid>
      <w:tr>
        <w:tc>
          <w:tcPr>
            <w:tcW w:type="dxa" w:w="2340"/>
            <w:shd w:val="clear" w:color="auto" w:fill="1F4E78"/>
          </w:tcPr>
          <w:p>
            <w:pPr>
              <w:spacing w:after="80" w:before="0"/>
              <w:jc w:val="center"/>
            </w:pPr>
            <w:r>
              <w:rPr>
                <w:rFonts w:ascii="Calibri" w:hAnsi="Calibri" w:eastAsia="Calibri" w:cs="Calibri"/>
                <w:b/>
                <w:color w:val="FFFFFF"/>
                <w:sz w:val="22"/>
              </w:rPr>
              <w:t>Assumption ID</w:t>
            </w:r>
          </w:p>
        </w:tc>
        <w:tc>
          <w:tcPr>
            <w:tcW w:type="dxa" w:w="2340"/>
            <w:shd w:val="clear" w:color="auto" w:fill="1F4E78"/>
          </w:tcPr>
          <w:p>
            <w:pPr>
              <w:spacing w:after="80" w:before="0"/>
              <w:jc w:val="center"/>
            </w:pPr>
            <w:r>
              <w:rPr>
                <w:rFonts w:ascii="Calibri" w:hAnsi="Calibri" w:eastAsia="Calibri" w:cs="Calibri"/>
                <w:b/>
                <w:color w:val="FFFFFF"/>
                <w:sz w:val="22"/>
              </w:rPr>
              <w:t>Assumption</w:t>
            </w:r>
          </w:p>
        </w:tc>
        <w:tc>
          <w:tcPr>
            <w:tcW w:type="dxa" w:w="2340"/>
            <w:shd w:val="clear" w:color="auto" w:fill="1F4E78"/>
          </w:tcPr>
          <w:p>
            <w:pPr>
              <w:spacing w:after="80" w:before="0"/>
              <w:jc w:val="center"/>
            </w:pPr>
            <w:r>
              <w:rPr>
                <w:rFonts w:ascii="Calibri" w:hAnsi="Calibri" w:eastAsia="Calibri" w:cs="Calibri"/>
                <w:b/>
                <w:color w:val="FFFFFF"/>
                <w:sz w:val="22"/>
              </w:rPr>
              <w:t>Status Label</w:t>
            </w:r>
          </w:p>
        </w:tc>
        <w:tc>
          <w:tcPr>
            <w:tcW w:type="dxa" w:w="2340"/>
            <w:shd w:val="clear" w:color="auto" w:fill="1F4E78"/>
          </w:tcPr>
          <w:p>
            <w:pPr>
              <w:spacing w:after="80" w:before="0"/>
              <w:jc w:val="center"/>
            </w:pPr>
            <w:r>
              <w:rPr>
                <w:rFonts w:ascii="Calibri" w:hAnsi="Calibri" w:eastAsia="Calibri" w:cs="Calibri"/>
                <w:b/>
                <w:color w:val="FFFFFF"/>
                <w:sz w:val="22"/>
              </w:rPr>
              <w:t>Primary Use</w:t>
            </w:r>
          </w:p>
        </w:tc>
      </w:tr>
      <w:tr>
        <w:tc>
          <w:tcPr>
            <w:tcW w:type="dxa" w:w="2340"/>
          </w:tcPr>
          <w:p>
            <w:r>
              <w:rPr>
                <w:rFonts w:ascii="Calibri" w:hAnsi="Calibri" w:eastAsia="Calibri" w:cs="Calibri"/>
                <w:sz w:val="22"/>
              </w:rPr>
              <w:t>A1</w:t>
            </w:r>
          </w:p>
        </w:tc>
        <w:tc>
          <w:tcPr>
            <w:tcW w:type="dxa" w:w="2340"/>
          </w:tcPr>
          <w:p>
            <w:r>
              <w:rPr>
                <w:rFonts w:ascii="Calibri" w:hAnsi="Calibri" w:eastAsia="Calibri" w:cs="Calibri"/>
                <w:sz w:val="22"/>
              </w:rPr>
              <w:t>Launch WAC is $39,000 per 900 mg vial with every-two-week dosing and annual gross WAC exposure of $1,014,000.</w:t>
            </w:r>
          </w:p>
        </w:tc>
        <w:tc>
          <w:tcPr>
            <w:tcW w:type="dxa" w:w="2340"/>
          </w:tcPr>
          <w:p>
            <w:r>
              <w:rPr>
                <w:rFonts w:ascii="Calibri" w:hAnsi="Calibri" w:eastAsia="Calibri" w:cs="Calibri"/>
                <w:sz w:val="22"/>
              </w:rPr>
              <w:t>Confirmed/supplied assumption</w:t>
            </w:r>
          </w:p>
        </w:tc>
        <w:tc>
          <w:tcPr>
            <w:tcW w:type="dxa" w:w="2340"/>
          </w:tcPr>
          <w:p>
            <w:r>
              <w:rPr>
                <w:rFonts w:ascii="Calibri" w:hAnsi="Calibri" w:eastAsia="Calibri" w:cs="Calibri"/>
                <w:sz w:val="22"/>
              </w:rPr>
              <w:t>Training baseline and calculator anchor</w:t>
            </w:r>
          </w:p>
        </w:tc>
      </w:tr>
      <w:tr>
        <w:tc>
          <w:tcPr>
            <w:tcW w:type="dxa" w:w="2340"/>
          </w:tcPr>
          <w:p>
            <w:r>
              <w:rPr>
                <w:rFonts w:ascii="Calibri" w:hAnsi="Calibri" w:eastAsia="Calibri" w:cs="Calibri"/>
                <w:sz w:val="22"/>
              </w:rPr>
              <w:t>A2</w:t>
            </w:r>
          </w:p>
        </w:tc>
        <w:tc>
          <w:tcPr>
            <w:tcW w:type="dxa" w:w="2340"/>
          </w:tcPr>
          <w:p>
            <w:r>
              <w:rPr>
                <w:rFonts w:ascii="Calibri" w:hAnsi="Calibri" w:eastAsia="Calibri" w:cs="Calibri"/>
                <w:sz w:val="22"/>
              </w:rPr>
              <w:t>PDUFA planning date is August 17, 2026; OPPS pass-through target date is January 1, 2027 if granted; permanent HCPCS target date is April 1, 2027 if assigned.</w:t>
            </w:r>
          </w:p>
        </w:tc>
        <w:tc>
          <w:tcPr>
            <w:tcW w:type="dxa" w:w="2340"/>
          </w:tcPr>
          <w:p>
            <w:r>
              <w:rPr>
                <w:rFonts w:ascii="Calibri" w:hAnsi="Calibri" w:eastAsia="Calibri" w:cs="Calibri"/>
                <w:sz w:val="22"/>
              </w:rPr>
              <w:t>Planning assumption</w:t>
            </w:r>
          </w:p>
        </w:tc>
        <w:tc>
          <w:tcPr>
            <w:tcW w:type="dxa" w:w="2340"/>
          </w:tcPr>
          <w:p>
            <w:r>
              <w:rPr>
                <w:rFonts w:ascii="Calibri" w:hAnsi="Calibri" w:eastAsia="Calibri" w:cs="Calibri"/>
                <w:sz w:val="22"/>
              </w:rPr>
              <w:t>Timeline planning across all materials</w:t>
            </w:r>
          </w:p>
        </w:tc>
      </w:tr>
      <w:tr>
        <w:tc>
          <w:tcPr>
            <w:tcW w:type="dxa" w:w="2340"/>
          </w:tcPr>
          <w:p>
            <w:r>
              <w:rPr>
                <w:rFonts w:ascii="Calibri" w:hAnsi="Calibri" w:eastAsia="Calibri" w:cs="Calibri"/>
                <w:sz w:val="22"/>
              </w:rPr>
              <w:t>A3</w:t>
            </w:r>
          </w:p>
        </w:tc>
        <w:tc>
          <w:tcPr>
            <w:tcW w:type="dxa" w:w="2340"/>
          </w:tcPr>
          <w:p>
            <w:r>
              <w:rPr>
                <w:rFonts w:ascii="Calibri" w:hAnsi="Calibri" w:eastAsia="Calibri" w:cs="Calibri"/>
                <w:sz w:val="22"/>
              </w:rPr>
              <w:t>Primary launch customers are COE and pediatric specialty hospitals with a default 340B profile.</w:t>
            </w:r>
          </w:p>
        </w:tc>
        <w:tc>
          <w:tcPr>
            <w:tcW w:type="dxa" w:w="2340"/>
          </w:tcPr>
          <w:p>
            <w:r>
              <w:rPr>
                <w:rFonts w:ascii="Calibri" w:hAnsi="Calibri" w:eastAsia="Calibri" w:cs="Calibri"/>
                <w:sz w:val="22"/>
              </w:rPr>
              <w:t>Planning assumption</w:t>
            </w:r>
          </w:p>
        </w:tc>
        <w:tc>
          <w:tcPr>
            <w:tcW w:type="dxa" w:w="2340"/>
          </w:tcPr>
          <w:p>
            <w:r>
              <w:rPr>
                <w:rFonts w:ascii="Calibri" w:hAnsi="Calibri" w:eastAsia="Calibri" w:cs="Calibri"/>
                <w:sz w:val="22"/>
              </w:rPr>
              <w:t>Default scenario selection and ARM talk track</w:t>
            </w:r>
          </w:p>
        </w:tc>
      </w:tr>
      <w:tr>
        <w:tc>
          <w:tcPr>
            <w:tcW w:type="dxa" w:w="2340"/>
          </w:tcPr>
          <w:p>
            <w:r>
              <w:rPr>
                <w:rFonts w:ascii="Calibri" w:hAnsi="Calibri" w:eastAsia="Calibri" w:cs="Calibri"/>
                <w:sz w:val="22"/>
              </w:rPr>
              <w:t>A4</w:t>
            </w:r>
          </w:p>
        </w:tc>
        <w:tc>
          <w:tcPr>
            <w:tcW w:type="dxa" w:w="2340"/>
          </w:tcPr>
          <w:p>
            <w:r>
              <w:rPr>
                <w:rFonts w:ascii="Calibri" w:hAnsi="Calibri" w:eastAsia="Calibri" w:cs="Calibri"/>
                <w:sz w:val="22"/>
              </w:rPr>
              <w:t>Non-340B cases remain sensitivity scenarios and should not be the default value story.</w:t>
            </w:r>
          </w:p>
        </w:tc>
        <w:tc>
          <w:tcPr>
            <w:tcW w:type="dxa" w:w="2340"/>
          </w:tcPr>
          <w:p>
            <w:r>
              <w:rPr>
                <w:rFonts w:ascii="Calibri" w:hAnsi="Calibri" w:eastAsia="Calibri" w:cs="Calibri"/>
                <w:sz w:val="22"/>
              </w:rPr>
              <w:t>Modeling assumption</w:t>
            </w:r>
          </w:p>
        </w:tc>
        <w:tc>
          <w:tcPr>
            <w:tcW w:type="dxa" w:w="2340"/>
          </w:tcPr>
          <w:p>
            <w:r>
              <w:rPr>
                <w:rFonts w:ascii="Calibri" w:hAnsi="Calibri" w:eastAsia="Calibri" w:cs="Calibri"/>
                <w:sz w:val="22"/>
              </w:rPr>
              <w:t>Sensitivity views in calculator and training</w:t>
            </w:r>
          </w:p>
        </w:tc>
      </w:tr>
      <w:tr>
        <w:tc>
          <w:tcPr>
            <w:tcW w:type="dxa" w:w="2340"/>
          </w:tcPr>
          <w:p>
            <w:r>
              <w:rPr>
                <w:rFonts w:ascii="Calibri" w:hAnsi="Calibri" w:eastAsia="Calibri" w:cs="Calibri"/>
                <w:sz w:val="22"/>
              </w:rPr>
              <w:t>A5</w:t>
            </w:r>
          </w:p>
        </w:tc>
        <w:tc>
          <w:tcPr>
            <w:tcW w:type="dxa" w:w="2340"/>
          </w:tcPr>
          <w:p>
            <w:r>
              <w:rPr>
                <w:rFonts w:ascii="Calibri" w:hAnsi="Calibri" w:eastAsia="Calibri" w:cs="Calibri"/>
                <w:sz w:val="22"/>
              </w:rPr>
              <w:t>Interim coding pathways (for example C9399/J3490/J3590) and modifier use are payer-specific and institution-specific.</w:t>
            </w:r>
          </w:p>
        </w:tc>
        <w:tc>
          <w:tcPr>
            <w:tcW w:type="dxa" w:w="2340"/>
          </w:tcPr>
          <w:p>
            <w:r>
              <w:rPr>
                <w:rFonts w:ascii="Calibri" w:hAnsi="Calibri" w:eastAsia="Calibri" w:cs="Calibri"/>
                <w:sz w:val="22"/>
              </w:rPr>
              <w:t>External validation needed</w:t>
            </w:r>
          </w:p>
        </w:tc>
        <w:tc>
          <w:tcPr>
            <w:tcW w:type="dxa" w:w="2340"/>
          </w:tcPr>
          <w:p>
            <w:r>
              <w:rPr>
                <w:rFonts w:ascii="Calibri" w:hAnsi="Calibri" w:eastAsia="Calibri" w:cs="Calibri"/>
                <w:sz w:val="22"/>
              </w:rPr>
              <w:t>Billing reference flags and claim verification prompts</w:t>
            </w:r>
          </w:p>
        </w:tc>
      </w:tr>
      <w:tr>
        <w:tc>
          <w:tcPr>
            <w:tcW w:type="dxa" w:w="2340"/>
          </w:tcPr>
          <w:p>
            <w:r>
              <w:rPr>
                <w:rFonts w:ascii="Calibri" w:hAnsi="Calibri" w:eastAsia="Calibri" w:cs="Calibri"/>
                <w:sz w:val="22"/>
              </w:rPr>
              <w:t>A6</w:t>
            </w:r>
          </w:p>
        </w:tc>
        <w:tc>
          <w:tcPr>
            <w:tcW w:type="dxa" w:w="2340"/>
          </w:tcPr>
          <w:p>
            <w:r>
              <w:rPr>
                <w:rFonts w:ascii="Calibri" w:hAnsi="Calibri" w:eastAsia="Calibri" w:cs="Calibri"/>
                <w:sz w:val="22"/>
              </w:rPr>
              <w:t>Commercial friction (PA, site-of-care edits, specialty pharmacy sourcing, denial/rework risk) is expected and mitigated through Beren tools.</w:t>
            </w:r>
          </w:p>
        </w:tc>
        <w:tc>
          <w:tcPr>
            <w:tcW w:type="dxa" w:w="2340"/>
          </w:tcPr>
          <w:p>
            <w:r>
              <w:rPr>
                <w:rFonts w:ascii="Calibri" w:hAnsi="Calibri" w:eastAsia="Calibri" w:cs="Calibri"/>
                <w:sz w:val="22"/>
              </w:rPr>
              <w:t>Confirmed/supplied assumption</w:t>
            </w:r>
          </w:p>
        </w:tc>
        <w:tc>
          <w:tcPr>
            <w:tcW w:type="dxa" w:w="2340"/>
          </w:tcPr>
          <w:p>
            <w:r>
              <w:rPr>
                <w:rFonts w:ascii="Calibri" w:hAnsi="Calibri" w:eastAsia="Calibri" w:cs="Calibri"/>
                <w:sz w:val="22"/>
              </w:rPr>
              <w:t>ARM execution plan and objection handling</w:t>
            </w:r>
          </w:p>
        </w:tc>
      </w:tr>
    </w:tbl>
    <w:p w14:paraId="3DD3795E"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1168DD8">
          <v:rect id="_x0000_i1036" alt="" style="width:468pt;height:.05pt;mso-width-percent:0;mso-height-percent:0;mso-width-percent:0;mso-height-percent:0" o:hralign="center" o:hrstd="t" o:hr="t" fillcolor="#a0a0a0" stroked="f"/>
        </w:pict>
      </w:r>
    </w:p>
    <w:p w14:paraId="74E3EA28"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1. Core Product and Launch Facts</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69"/>
        <w:gridCol w:w="2325"/>
        <w:gridCol w:w="3699"/>
        <w:gridCol w:w="1751"/>
      </w:tblGrid>
      <w:tr w:rsidR="0027634F" w:rsidRPr="0027634F" w14:paraId="585317F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69AE6A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Topic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F8FAB0C"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Fact /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5A1DA6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Training Implication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D448299"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Calculator Treatment</w:t>
            </w:r>
          </w:p>
        </w:tc>
      </w:tr>
      <w:tr w:rsidR="0027634F" w:rsidRPr="0027634F" w14:paraId="1AE440D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B96F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Product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6BE7C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Adrabetadex</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A6EFB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Clinician-administered, rare-disease therapy requiring specialty-center readiness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4825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Fixed product</w:t>
            </w:r>
          </w:p>
        </w:tc>
      </w:tr>
      <w:tr w:rsidR="0027634F" w:rsidRPr="0027634F" w14:paraId="0B2BC23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197DA5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Indication 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A0D0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Infantile-onset Niemann-Pick disease type 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7E646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Launch volume is concentrated, not broad retail or community-office utilization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DE1C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Fixed launch population</w:t>
            </w:r>
          </w:p>
        </w:tc>
      </w:tr>
      <w:tr w:rsidR="0027634F" w:rsidRPr="0027634F" w14:paraId="6FD4E11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C6D54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PDUFA / approval planning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0029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August 17,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9F5A5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Approval timing drives pass-through and HCPCS sequencing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A1B4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Fixed date</w:t>
            </w:r>
          </w:p>
        </w:tc>
      </w:tr>
      <w:tr w:rsidR="0027634F" w:rsidRPr="0027634F" w14:paraId="704A248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CCCE1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Target treatment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0BC1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Pediatric specialty hospitals and centers of excellence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F997A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Training should focus on institutional reimbursement, not broad office-based selling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3C385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site type = COE / HOPD</w:t>
            </w:r>
          </w:p>
        </w:tc>
      </w:tr>
      <w:tr w:rsidR="0027634F" w:rsidRPr="0027634F" w14:paraId="24FCBC4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67BDA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Target site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E3D0D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Target 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CF96C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Value story should center on 340B acquisition advantage plus outpatient payment visibility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845D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340B = Yes</w:t>
            </w:r>
          </w:p>
        </w:tc>
      </w:tr>
      <w:tr w:rsidR="0027634F" w:rsidRPr="0027634F" w14:paraId="1838C1A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CEA6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Clinical value frame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E8F32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Survival and functional preservation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C5F93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Supports medical necessity and access case, but does not replace reimbursement execution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F5793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Narrative support, not a formula input</w:t>
            </w:r>
          </w:p>
        </w:tc>
      </w:tr>
    </w:tbl>
    <w:p w14:paraId="5468CDE6"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current combined brief already frames the launch as concentrated in pediatric specialty hospitals and centers of excellence, and it states that WAC is $39,000 per 900 mg vial dosed every two weeks, producing $1,014,000 in annual gross drug exposure before administration cost or denied claims.</w:t>
      </w:r>
    </w:p>
    <w:p w14:paraId="53AFC1ED"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CBB8F1">
          <v:rect id="_x0000_i1035" alt="" style="width:468pt;height:.05pt;mso-width-percent:0;mso-height-percent:0;mso-width-percent:0;mso-height-percent:0" o:hralign="center" o:hrstd="t" o:hr="t" fillcolor="#a0a0a0" stroked="f"/>
        </w:pict>
      </w:r>
    </w:p>
    <w:p w14:paraId="18AF84FB"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2. Dosing and Cost Exposure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91"/>
        <w:gridCol w:w="1162"/>
        <w:gridCol w:w="1496"/>
        <w:gridCol w:w="3695"/>
      </w:tblGrid>
      <w:tr w:rsidR="0027634F" w:rsidRPr="0027634F" w14:paraId="7AC00AA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08D498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74AB0A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7681D76"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Calculation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03EF815"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Meaning</w:t>
            </w:r>
          </w:p>
        </w:tc>
      </w:tr>
      <w:tr w:rsidR="0027634F" w:rsidRPr="0027634F" w14:paraId="24FB6E4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659E6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WAC per vial /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79D6D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34BE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6F4D7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Core acquisition exposure per treatment</w:t>
            </w:r>
          </w:p>
        </w:tc>
      </w:tr>
      <w:tr w:rsidR="0027634F" w:rsidRPr="0027634F" w14:paraId="2C0444C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C34FE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Dosing frequency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DDE34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Every 2 weeks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6079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F21E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26 administrations per year</w:t>
            </w:r>
          </w:p>
        </w:tc>
      </w:tr>
      <w:tr w:rsidR="0027634F" w:rsidRPr="0027634F" w14:paraId="016F407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AD05AE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CB92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98919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52 weeks /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1742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Recurring high-dollar exposure</w:t>
            </w:r>
          </w:p>
        </w:tc>
      </w:tr>
      <w:tr w:rsidR="0027634F" w:rsidRPr="0027634F" w14:paraId="45554EB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09AC5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Annual WAC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25508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$1,014,000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8F6F5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 × 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AE934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Baseline gross drug exposure</w:t>
            </w:r>
          </w:p>
        </w:tc>
      </w:tr>
      <w:tr w:rsidR="0027634F" w:rsidRPr="0027634F" w14:paraId="3B17FD3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B8C5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Two-quarter administrations before ASP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7ABA5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4C84D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26 / 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0D3B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Pre-ASP exposure period</w:t>
            </w:r>
          </w:p>
        </w:tc>
      </w:tr>
      <w:tr w:rsidR="0027634F" w:rsidRPr="0027634F" w14:paraId="593C55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5ABF2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Two-quarter WAC exposure before ASP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63817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$507,000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6ADE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512B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Inventory/payment exposure before ASP benchmark matures</w:t>
            </w:r>
          </w:p>
        </w:tc>
      </w:tr>
      <w:tr w:rsidR="0027634F" w:rsidRPr="0027634F" w14:paraId="042A9C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A4C5C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Initial-sales Medicare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4445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$40,170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1AC56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 × 103%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135E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Pre-ASP benchmark reference</w:t>
            </w:r>
          </w:p>
        </w:tc>
      </w:tr>
      <w:tr w:rsidR="0027634F" w:rsidRPr="0027634F" w14:paraId="3929243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C862C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Two-quarter benchmark reimbursement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8210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$522,210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D073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$40,170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BE91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Reimbursement benchmark before labor, denial, and delay</w:t>
            </w:r>
          </w:p>
        </w:tc>
      </w:tr>
      <w:tr w:rsidR="0027634F" w:rsidRPr="0027634F" w14:paraId="7A02BFA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E3EB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Two-quarter gross spread before operating costs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A022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$15,210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140B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$522,210 - $507,000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2BE52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Thin gross spread if not using 340B economics</w:t>
            </w:r>
          </w:p>
        </w:tc>
      </w:tr>
    </w:tbl>
    <w:p w14:paraId="567ED270"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provider model uses $39,000 per 900 mg vial every two weeks, $1,014,000 per patient-year, and a $40,170 launch-period benchmark based on 103% of WAC before ASP is available.</w:t>
      </w:r>
    </w:p>
    <w:p w14:paraId="5A5C070D"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sidRPr="005162B5">
        <w:rPr>
          <w:rFonts w:ascii="Times New Roman" w:eastAsia="Times New Roman" w:hAnsi="Times New Roman" w:cs="Times New Roman"/>
          <w:noProof/>
          <w:kern w:val="0"/>
        </w:rPr>
        <w:pict w14:anchorId="26C4FE28">
          <v:rect id="_x0000_i1034" alt="" style="width:468pt;height:.05pt;mso-width-percent:0;mso-height-percent:0;mso-width-percent:0;mso-height-percent:0" o:hralign="center" o:hrstd="t" o:hr="t" fillcolor="#a0a0a0" stroked="f"/>
        </w:pict>
      </w:r>
    </w:p>
    <w:p w14:paraId="17875AF0"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3. Site-of-Care and Customer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69"/>
        <w:gridCol w:w="1790"/>
        <w:gridCol w:w="3804"/>
        <w:gridCol w:w="2481"/>
      </w:tblGrid>
      <w:tr w:rsidR="0027634F" w:rsidRPr="0027634F" w14:paraId="57CF881B"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EB85B2A"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Site / Customer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18E3A04"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Operating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8548A8A"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Why It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E5396DE"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Message</w:t>
            </w:r>
          </w:p>
        </w:tc>
      </w:tr>
      <w:tr w:rsidR="0027634F" w:rsidRPr="0027634F" w14:paraId="4CCA8A2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A55C4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Centers of excellence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D131C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Primary target customers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6EBAE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Patients, specialists, pharmacy infrastructure, and rare-disease billing expertise are concentrated here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04876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“Adrabetadex launch will be COE-led.”</w:t>
            </w:r>
          </w:p>
        </w:tc>
      </w:tr>
      <w:tr w:rsidR="0027634F" w:rsidRPr="0027634F" w14:paraId="10FE8F7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23B67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Pediatric specialty hospitals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1ADB9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Expected core 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667E0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More likely to manage intrathecal administration, pediatric Medicaid, and rare-disease prior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FDB46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“The right sites already have much of the clinical infrastructure.”</w:t>
            </w:r>
          </w:p>
        </w:tc>
      </w:tr>
      <w:tr w:rsidR="0027634F" w:rsidRPr="0027634F" w14:paraId="163ECE5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1822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 hospitals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79AF3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Assume all primary 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437D3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 acquisition changes provider economics materially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267AB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“The site’s 340B status is central to the value story.”</w:t>
            </w:r>
          </w:p>
        </w:tc>
      </w:tr>
      <w:tr w:rsidR="0027634F" w:rsidRPr="0027634F" w14:paraId="325C18C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7ED63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Non-340B community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CEA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Not the core first-wave target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EA276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Prior model showed fragile or negative economics outside 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64FB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“Non-340B logic is secondary for this ARM training version.”</w:t>
            </w:r>
          </w:p>
        </w:tc>
      </w:tr>
      <w:tr w:rsidR="0027634F" w:rsidRPr="0027634F" w14:paraId="7715B7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2EB40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Physician office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BE2DF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Not primary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F53A8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May matter for coding education, but not the core economic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D283C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“Keep as background, not the main value story.”</w:t>
            </w:r>
          </w:p>
        </w:tc>
      </w:tr>
    </w:tbl>
    <w:p w14:paraId="17267259"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existing model shows 340B pediatric COE economics as structurally advantaged, with acquisition of $29,991, modeled margin of $9,043 per administration, and annualized margin of $235,115, while non-340B commercial and Medicaid cases are near break-even or negative.</w:t>
      </w:r>
    </w:p>
    <w:p w14:paraId="38FD8498"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6C91C08">
          <v:rect id="_x0000_i1033" alt="" style="width:468pt;height:.05pt;mso-width-percent:0;mso-height-percent:0;mso-width-percent:0;mso-height-percent:0" o:hralign="center" o:hrstd="t" o:hr="t" fillcolor="#a0a0a0" stroked="f"/>
        </w:pict>
      </w:r>
    </w:p>
    <w:p w14:paraId="70D480E6"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4. 340B Economics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131"/>
        <w:gridCol w:w="1751"/>
        <w:gridCol w:w="1018"/>
        <w:gridCol w:w="3069"/>
        <w:gridCol w:w="1375"/>
      </w:tblGrid>
      <w:tr w:rsidR="0027634F" w:rsidRPr="0027634F" w14:paraId="004FB48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361F4E9"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340B Item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FFD6422"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Fact /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6F7763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E7F2493"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Implication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EAAFA42"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Calculator Treatment</w:t>
            </w:r>
          </w:p>
        </w:tc>
      </w:tr>
      <w:tr w:rsidR="0027634F" w:rsidRPr="0027634F" w14:paraId="799D277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CD974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Target site 340B status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632534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COEs are assumed to be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14E4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Yes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15E57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customer economics should be modeled as 340B, not as non-340B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1206D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 340B</w:t>
            </w:r>
          </w:p>
        </w:tc>
      </w:tr>
      <w:tr w:rsidR="0027634F" w:rsidRPr="0027634F" w14:paraId="2FFC4BB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F02E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1E29B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Launch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32F8E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3317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Acquisition reference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0EB9D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Fixed</w:t>
            </w:r>
          </w:p>
        </w:tc>
      </w:tr>
      <w:tr w:rsidR="0027634F" w:rsidRPr="0027634F" w14:paraId="3F9770C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F27B4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Estimated 340B acquisition, primary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7163E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WAC less 23.1% estimate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11BB6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4E4FD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Creates major spread advantage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0595ED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340B acquisition</w:t>
            </w:r>
          </w:p>
        </w:tc>
      </w:tr>
      <w:tr w:rsidR="0027634F" w:rsidRPr="0027634F" w14:paraId="0A6C04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CEA85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Estimated 340B acquisition, sensitivity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1CB28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WAC less 17.1% estimate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F8A86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$32,331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60367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Shows sensitivity if pediatric rebate category differs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16CAB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Sensitivity toggle</w:t>
            </w:r>
          </w:p>
        </w:tc>
      </w:tr>
      <w:tr w:rsidR="0027634F" w:rsidRPr="0027634F" w14:paraId="5E89262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EF04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Acquisition advantage vs WAC, 23.1% case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9230F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$39,000 - $29,991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E4E4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$9,009 per dose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BDB0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Explains why 340B is the main site value lever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2E5B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Display prominently</w:t>
            </w:r>
          </w:p>
        </w:tc>
      </w:tr>
      <w:tr w:rsidR="0027634F" w:rsidRPr="0027634F" w14:paraId="10D859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889F1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Annual acquisition advantage, 23.1% case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4B62A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$9,009 × 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13CCA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$234,234 per year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9FCA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Converts 340B into an annual site-level economics story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9149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Display as annualized value</w:t>
            </w:r>
          </w:p>
        </w:tc>
      </w:tr>
      <w:tr w:rsidR="0027634F" w:rsidRPr="0027634F" w14:paraId="4504473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F6D8C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Two-quarter acquisition advantage, 23.1% case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E6806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$9,009 × 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D9389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$117,117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D3A7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Shows pre-ASP / early launch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98F53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Display for launch bridge</w:t>
            </w:r>
          </w:p>
        </w:tc>
      </w:tr>
    </w:tbl>
    <w:p w14:paraId="502C51E8"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combined brief identifies estimated 340B acquisition at $29,991 under the 23.1% URA assumption and $32,331 under the 17.1% URA assumption, and it states that 340B participation fundamentally changes the provider result.</w:t>
      </w:r>
    </w:p>
    <w:p w14:paraId="4F4F1E14"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FE011DC">
          <v:rect id="_x0000_i1032" alt="" style="width:468pt;height:.05pt;mso-width-percent:0;mso-height-percent:0;mso-width-percent:0;mso-height-percent:0" o:hralign="center" o:hrstd="t" o:hr="t" fillcolor="#a0a0a0" stroked="f"/>
        </w:pict>
      </w:r>
    </w:p>
    <w:p w14:paraId="2941B537"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5. Coding and Payment Timing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97"/>
        <w:gridCol w:w="2381"/>
        <w:gridCol w:w="1543"/>
        <w:gridCol w:w="2110"/>
        <w:gridCol w:w="2013"/>
      </w:tblGrid>
      <w:tr w:rsidR="0027634F" w:rsidRPr="0027634F" w14:paraId="74D88D7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8D1D18D"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Workstream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460EE82"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Operating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5AAB45D"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Date / Timing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0D6240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What ARMs Need to Know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231355A"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Training Message</w:t>
            </w:r>
          </w:p>
        </w:tc>
      </w:tr>
      <w:tr w:rsidR="0027634F" w:rsidRPr="0027634F" w14:paraId="096C6FC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B905C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FDA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1F3F1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Approval gates commercial billing and pass-through package completion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C43E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August 17,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8F69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Approval letter and final label are needed for CMS processes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BFD57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“Approval starts the reimbursement clock.”</w:t>
            </w:r>
          </w:p>
        </w:tc>
      </w:tr>
      <w:tr w:rsidR="0027634F" w:rsidRPr="0027634F" w14:paraId="7F80AF9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09C8D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Launch 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6AB0E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Product-specific HCPCS not active at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2107A3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August 2026 launch window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2E29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Interim billing is required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EC04C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“Early claims need clean interim coding support.”</w:t>
            </w:r>
          </w:p>
        </w:tc>
      </w:tr>
      <w:tr w:rsidR="0027634F" w:rsidRPr="0027634F" w14:paraId="3DF60A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DE325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Interim hospital outpatient coding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3EFE4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C9399 or NOC pathway may be used depending on setting and payer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CAD406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Approval to permanent-code effective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8DB1F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Requires NDC, dosage, narrative, and clean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F17A8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“Billing guide must be ready before first commercial dose.”</w:t>
            </w:r>
          </w:p>
        </w:tc>
      </w:tr>
      <w:tr w:rsidR="0027634F" w:rsidRPr="0027634F" w14:paraId="1A31765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061C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OPPS 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8D68C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Separate from 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FA749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Effective January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58735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Provides near-term HOPD payment support and predictability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4DB55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“Pass-through is the outpatient payment bridge.”</w:t>
            </w:r>
          </w:p>
        </w:tc>
      </w:tr>
      <w:tr w:rsidR="0027634F" w:rsidRPr="0027634F" w14:paraId="241598E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9584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0A0D3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Product-specific permanent code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AA505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Effective April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D93DD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Improves claim clarity and reduces miscellaneous-code friction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268DA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 HCPCS is the clean-code endpoint.”</w:t>
            </w:r>
          </w:p>
        </w:tc>
      </w:tr>
      <w:tr w:rsidR="0027634F" w:rsidRPr="0027634F" w14:paraId="083E7CB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9706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ASP availability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CFBC1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Not available at launch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6EE3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After sufficient sales/reporting lag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2A7EF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Pre-ASP payment uses WAC-based benchmark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56C13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“Before ASP, WAC is the benchmark anchor.”</w:t>
            </w:r>
          </w:p>
        </w:tc>
      </w:tr>
    </w:tbl>
    <w:p w14:paraId="60438BB7"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coding brief states that with a supplied August 17, 2026 PDUFA date, the first full quarterly coding window after approval is October 1, 2026, targeting an April 1, 2027 effective date for a permanent product-specific HCPCS code. It also states that a September 1, 2026 pass-through filing can target a January 1, 2027 effective date.</w:t>
      </w:r>
    </w:p>
    <w:p w14:paraId="1A53C266"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C24D008">
          <v:rect id="_x0000_i1031" alt="" style="width:468pt;height:.05pt;mso-width-percent:0;mso-height-percent:0;mso-width-percent:0;mso-height-percent:0" o:hralign="center" o:hrstd="t" o:hr="t" fillcolor="#a0a0a0" stroked="f"/>
        </w:pict>
      </w:r>
    </w:p>
    <w:p w14:paraId="1A559182"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6. Launch Period Timeline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11"/>
        <w:gridCol w:w="1887"/>
        <w:gridCol w:w="2289"/>
        <w:gridCol w:w="2737"/>
        <w:gridCol w:w="1120"/>
      </w:tblGrid>
      <w:tr w:rsidR="0027634F" w:rsidRPr="0027634F" w14:paraId="3850532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FBBE285"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Period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5EDEE4B"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Dates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3DB9540"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Coding / Payment State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9F9A892"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Training Focus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9C4A73A"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Calculator Mode</w:t>
            </w:r>
          </w:p>
        </w:tc>
      </w:tr>
      <w:tr w:rsidR="0027634F" w:rsidRPr="0027634F" w14:paraId="0A6BA87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920AE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Launch to year-end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B8372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Aug. 17, 2026 to Dec. 31, 2026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29804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FDA-approved, no permanent HCPCS, pre-pass-through, pre-ASP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2C0AB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Interim billing, documentation, NDC capture, prior authorization tools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A351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Launch bridge mode</w:t>
            </w:r>
          </w:p>
        </w:tc>
      </w:tr>
      <w:tr w:rsidR="0027634F" w:rsidRPr="0027634F" w14:paraId="25BE64A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29DED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Pass-through active, pre-HCPCS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56347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Jan. 1, 2027 to Mar. 31,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26D38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OPPS pass-through active, permanent HCPCS not yet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8EB5C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HOPD payment predictability improves, but interim coding still matters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00F7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Pass-through bridge mode</w:t>
            </w:r>
          </w:p>
        </w:tc>
      </w:tr>
      <w:tr w:rsidR="0027634F" w:rsidRPr="0027634F" w14:paraId="4D7C45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294B3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 HCPCS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384FC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April 1, 2027 onward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5A7A3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Product-specific HCPCS active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F446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Cleaner claims, reduced miscellaneous-code burden, stronger provider confidence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C10F7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Permanent-code mode</w:t>
            </w:r>
          </w:p>
        </w:tc>
      </w:tr>
      <w:tr w:rsidR="0027634F" w:rsidRPr="0027634F" w14:paraId="1F08548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37EE76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ASP maturation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7FCDE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After first two quarters of commercial data/reporting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0B0A5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ASP-based payment begins once available in CMS files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97480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Update assumptions once ASP is published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B3DB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ASP update mode</w:t>
            </w:r>
          </w:p>
        </w:tc>
      </w:tr>
    </w:tbl>
    <w:p w14:paraId="1D9FCBE9"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4FA12B5">
          <v:rect id="_x0000_i1030" alt="" style="width:468pt;height:.05pt;mso-width-percent:0;mso-height-percent:0;mso-width-percent:0;mso-height-percent:0" o:hralign="center" o:hrstd="t" o:hr="t" fillcolor="#a0a0a0" stroked="f"/>
        </w:pict>
      </w:r>
    </w:p>
    <w:p w14:paraId="165E6FB5"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7. Commercial Friction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05"/>
        <w:gridCol w:w="1440"/>
        <w:gridCol w:w="1897"/>
        <w:gridCol w:w="2831"/>
        <w:gridCol w:w="1471"/>
      </w:tblGrid>
      <w:tr w:rsidR="0027634F" w:rsidRPr="0027634F" w14:paraId="57E87694"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FF01FDC"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Friction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A032218"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Operating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53FF77D"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Beren Mitigation 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2067184"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Message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C3DBF81"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Calculator Relevance</w:t>
            </w:r>
          </w:p>
        </w:tc>
      </w:tr>
      <w:tr w:rsidR="0027634F" w:rsidRPr="0027634F" w14:paraId="4F17CAE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19E6E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Prior authorization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BB1AC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Valid and 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FF4A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Pre-authorization letter / medical necessity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E223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“We expect PA, and the team is equipped to support it.”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686C8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 probability / approval status</w:t>
            </w:r>
          </w:p>
        </w:tc>
      </w:tr>
      <w:tr w:rsidR="0027634F" w:rsidRPr="0027634F" w14:paraId="1F667A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0270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Genetic confirmation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7553D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Expected in analogous NPC policies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1D357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Documentation checklist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990D7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“Genetic confirmation should be prepared before submission.”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A5818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Documentation completeness</w:t>
            </w:r>
          </w:p>
        </w:tc>
      </w:tr>
      <w:tr w:rsidR="0027634F" w:rsidRPr="0027634F" w14:paraId="584AD07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68CB7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Specialist prescribing / oversight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51540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1E0F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Prescriber attestation / clinical support packet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F1568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“Specialist involvement should be positioned as expected, not exceptional.”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9236B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 readiness</w:t>
            </w:r>
          </w:p>
        </w:tc>
      </w:tr>
      <w:tr w:rsidR="0027634F" w:rsidRPr="0027634F" w14:paraId="3AA7BB0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2D57D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Continuation criteria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8F22A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30405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Renewal / continuation support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F206E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“Reauthorization must be planned from baseline.”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44561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Reauth timing / continuation risk</w:t>
            </w:r>
          </w:p>
        </w:tc>
      </w:tr>
      <w:tr w:rsidR="0027634F" w:rsidRPr="0027634F" w14:paraId="234B8BD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BF9D8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Site-of-care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0AA8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Valid and expected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4FC42C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Site-of-care support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9AC4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 administration should be framed as clinically and operationally appropriate.”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2044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 approval risk</w:t>
            </w:r>
          </w:p>
        </w:tc>
      </w:tr>
      <w:tr w:rsidR="0027634F" w:rsidRPr="0027634F" w14:paraId="1872FE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405B5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White-bagging / specialty pharmacy sourcing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E220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Valid risk</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6D450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Channel-specific payer response pathway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FF1F5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“White-bagging may reduce inventory exposure but can remove drug spread.”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627D6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Buy-and-bill vs white-bagging toggle</w:t>
            </w:r>
          </w:p>
        </w:tc>
      </w:tr>
      <w:tr w:rsidR="0027634F" w:rsidRPr="0027634F" w14:paraId="1C5801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AB218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31A71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Expected in launch gap</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E4B51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 letter / appeal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603031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“Denials are manageable only if the response pathway is ready.”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BB41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Denial/rework cost</w:t>
            </w:r>
          </w:p>
        </w:tc>
      </w:tr>
      <w:tr w:rsidR="0027634F" w:rsidRPr="0027634F" w14:paraId="3583B4C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3A0D8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NDC / claim documentation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26CB3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Required for clean payment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4ED3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Billing guide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58DA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“Clean claim construction is part of the access strategy.”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E80E9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Claim quality input</w:t>
            </w:r>
          </w:p>
        </w:tc>
      </w:tr>
    </w:tbl>
    <w:p w14:paraId="18BB29E9"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combined brief documents that analogous commercial policies use genetic confirmation, specialist oversight, continuation based on documented positive response, overlap controls, precertification, site-of-care management, and administration requirements. It also identifies specialty-pharmacy sourcing as a separate access-control channel that can determine whether the provider bills for the drug or only administration.</w:t>
      </w:r>
    </w:p>
    <w:p w14:paraId="5F438D89"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6C9E176">
          <v:rect id="_x0000_i1029" alt="" style="width:468pt;height:.05pt;mso-width-percent:0;mso-height-percent:0;mso-width-percent:0;mso-height-percent:0" o:hralign="center" o:hrstd="t" o:hr="t" fillcolor="#a0a0a0" stroked="f"/>
        </w:pict>
      </w:r>
    </w:p>
    <w:p w14:paraId="3D999BF5"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8. ARM and Patient-Team Tool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54"/>
        <w:gridCol w:w="1700"/>
        <w:gridCol w:w="2070"/>
        <w:gridCol w:w="1280"/>
        <w:gridCol w:w="2940"/>
      </w:tblGrid>
      <w:tr w:rsidR="0027634F" w:rsidRPr="0027634F" w14:paraId="47F3644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900E204"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Tool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41EB8F64"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Primary User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4E8C44D"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Purpose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0BF70B2"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Where It Fits in Workflow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B535BBD"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Training Message</w:t>
            </w:r>
          </w:p>
        </w:tc>
      </w:tr>
      <w:tr w:rsidR="0027634F" w:rsidRPr="0027634F" w14:paraId="10EA6EA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5A28E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Pre-Authorization Letter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DFA8C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ARM / patient access team / provider office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5A3D4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Supports initial payer approval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EE5B2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Before first dose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2B0EF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“Do not let the site build the PA record from scratch.”</w:t>
            </w:r>
          </w:p>
        </w:tc>
      </w:tr>
      <w:tr w:rsidR="0027634F" w:rsidRPr="0027634F" w14:paraId="3999AF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A4C53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Medical Necessity Letter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2F2ED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Provider / patient 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25CA9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Establishes clinical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5DA222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 and appeal packet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5D127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“Tie diagnosis, disease severity, treatment rationale, and site-of-care need together.”</w:t>
            </w:r>
          </w:p>
        </w:tc>
      </w:tr>
      <w:tr w:rsidR="0027634F" w:rsidRPr="0027634F" w14:paraId="6E8ADF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E6070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 Letter / Appeal Template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A8F9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Patient team / provider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68441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Responds to payer denial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0804C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Post-denial / resubmission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AD61B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“Denial response should be standardized and fast.”</w:t>
            </w:r>
          </w:p>
        </w:tc>
      </w:tr>
      <w:tr w:rsidR="0027634F" w:rsidRPr="0027634F" w14:paraId="0EDD385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9B142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Billing Guide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8617C6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ARM / provider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EF546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Supports HCPCS/NOC/C9399/NDC claim construction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853E4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Before first commercial claim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B3A56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“Billing readiness should precede dosing.”</w:t>
            </w:r>
          </w:p>
        </w:tc>
      </w:tr>
      <w:tr w:rsidR="0027634F" w:rsidRPr="0027634F" w14:paraId="3AF1D4A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C60B0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Site-of-Care Rationale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A1438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ARM / provider / payer access team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8C99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Defends COE or hospital outpatient administration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4B8C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 and site-of-care review</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6C908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 care is part of the clinical and operational logic.”</w:t>
            </w:r>
          </w:p>
        </w:tc>
      </w:tr>
      <w:tr w:rsidR="0027634F" w:rsidRPr="0027634F" w14:paraId="65B768C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8C2D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Reauthorization Checklist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D6C13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Patient access team / provider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BE328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Supports continuation coverage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A5CBB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Before renewal date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8642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“Continuation evidence starts with baseline documentation.”</w:t>
            </w:r>
          </w:p>
        </w:tc>
      </w:tr>
      <w:tr w:rsidR="0027634F" w:rsidRPr="0027634F" w14:paraId="44CF94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3B033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Net-Cost Recovery Calculator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730E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ARM</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1C7C5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Shows provider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DAEEB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 value discussion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03FB6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“This converts reimbursement mechanics into site-level economics.”</w:t>
            </w:r>
          </w:p>
        </w:tc>
      </w:tr>
      <w:tr w:rsidR="0027634F" w:rsidRPr="0027634F" w14:paraId="41C491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A7FD6C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One-Page PDF Output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5603F1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ARM / provider stakeholder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60BC7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Summarizes scenario-specific value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2B88D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Leave-behind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B2D3E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“Use as the executive summary of the calculator result.”</w:t>
            </w:r>
          </w:p>
        </w:tc>
      </w:tr>
    </w:tbl>
    <w:p w14:paraId="2D00F2AA"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386D5B">
          <v:rect id="_x0000_i1028" alt="" style="width:468pt;height:.05pt;mso-width-percent:0;mso-height-percent:0;mso-width-percent:0;mso-height-percent:0" o:hralign="center" o:hrstd="t" o:hr="t" fillcolor="#a0a0a0" stroked="f"/>
        </w:pict>
      </w:r>
    </w:p>
    <w:p w14:paraId="186A1C68"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9. Medicaid / EPSDT / PAD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55"/>
        <w:gridCol w:w="3397"/>
        <w:gridCol w:w="3205"/>
        <w:gridCol w:w="1487"/>
      </w:tblGrid>
      <w:tr w:rsidR="0027634F" w:rsidRPr="0027634F" w14:paraId="6AFB901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39D0818C"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Topic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F06A171"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Fact /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0C6C2DC4"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Training Point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D247725"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Calculator Treatment</w:t>
            </w:r>
          </w:p>
        </w:tc>
      </w:tr>
      <w:tr w:rsidR="0027634F" w:rsidRPr="0027634F" w14:paraId="54ABC3D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D3D7C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Medicaid relevance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09350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Meaningful due to pediatric population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43F13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Medicaid should be treated as a core payer segment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969C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Separate Medicaid scenario</w:t>
            </w:r>
          </w:p>
        </w:tc>
      </w:tr>
      <w:tr w:rsidR="0027634F" w:rsidRPr="0027634F" w14:paraId="2669470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860DE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EPSDT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D0A3E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Coverage tailwind for medically necessary pediatric care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2D6D5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Helps the coverage argument, not the payment formula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9D1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Narrative support</w:t>
            </w:r>
          </w:p>
        </w:tc>
      </w:tr>
      <w:tr w:rsidR="0027634F" w:rsidRPr="0027634F" w14:paraId="0E4ECD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D7393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BB43C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Adrabetadex is treated as physician-administered / clinician-administered drug logic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25189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NDC and claim integrity matter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D422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Claim quality field</w:t>
            </w:r>
          </w:p>
        </w:tc>
      </w:tr>
      <w:tr w:rsidR="0027634F" w:rsidRPr="0027634F" w14:paraId="73C2229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35FA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Medicaid managed care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8D2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May add payer-specific PA and sourcing controls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4D9E0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Do not assume FFS and MCO are the same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B480E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FFS vs MCO toggle</w:t>
            </w:r>
          </w:p>
        </w:tc>
      </w:tr>
      <w:tr w:rsidR="0027634F" w:rsidRPr="0027634F" w14:paraId="4D251AB3"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B6E38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 Medicaid handling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44CED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Duplicate-discount controls matter</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2BF417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 must manage carve-in / carve-out accurately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3EE00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 Medicaid flag</w:t>
            </w:r>
          </w:p>
        </w:tc>
      </w:tr>
      <w:tr w:rsidR="0027634F" w:rsidRPr="0027634F" w14:paraId="6C89263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7E319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 assumption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419BF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0A17D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Medicaid economics should not default to non-340B loss model for target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4198A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Medicaid COE = 340B</w:t>
            </w:r>
          </w:p>
        </w:tc>
      </w:tr>
    </w:tbl>
    <w:p w14:paraId="648AE723"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t>The prior provider model correctly shows that Medicaid non-340B economics are negative, but under the revised working facts, the ARM-facing model should default target COE Medicaid scenarios to 340B because the primary customers are 340B entities. The concept brief still remains useful for showing why 340B status changes behavior and why Medicaid claim integrity cannot be ignored.</w:t>
      </w:r>
    </w:p>
    <w:p w14:paraId="3FD2128A"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3DB6620">
          <v:rect id="_x0000_i1027" alt="" style="width:468pt;height:.05pt;mso-width-percent:0;mso-height-percent:0;mso-width-percent:0;mso-height-percent:0" o:hralign="center" o:hrstd="t" o:hr="t" fillcolor="#a0a0a0" stroked="f"/>
        </w:pict>
      </w:r>
    </w:p>
    <w:p w14:paraId="791E1664"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10. Value Story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559"/>
        <w:gridCol w:w="2419"/>
        <w:gridCol w:w="3528"/>
        <w:gridCol w:w="1838"/>
      </w:tblGrid>
      <w:tr w:rsidR="0027634F" w:rsidRPr="0027634F" w14:paraId="36813048"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124DE780"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Value Story Element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1B6E600"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Current Fact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70A2794B"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ARM Translation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241436A5"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Proof / Model Output</w:t>
            </w:r>
          </w:p>
        </w:tc>
      </w:tr>
      <w:tr w:rsidR="0027634F" w:rsidRPr="0027634F" w14:paraId="2978B11C"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2619E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Clinical need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BD051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Ultra-rare, severe pediatric disease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79307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COEs understand the clinical need, but need reimbursement certainty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44979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Clinical narrative</w:t>
            </w:r>
          </w:p>
        </w:tc>
      </w:tr>
      <w:tr w:rsidR="0027634F" w:rsidRPr="0027634F" w14:paraId="1FA5B40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2F41A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High acquisition exposure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F5C21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 per dose, $1.014M annually</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24995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Sites need confidence before stocking and billing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1B916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Acquisition exposure output</w:t>
            </w:r>
          </w:p>
        </w:tc>
      </w:tr>
      <w:tr w:rsidR="0027634F" w:rsidRPr="0027634F" w14:paraId="2C965ED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F805F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Target-site concentration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09F95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COEs are the main customers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AFA7A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One core training story can apply across most target accounts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BF366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 profile field</w:t>
            </w:r>
          </w:p>
        </w:tc>
      </w:tr>
      <w:tr w:rsidR="0027634F" w:rsidRPr="0027634F" w14:paraId="6856987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C02C2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 advantage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6A9EC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Target COEs are 340B entities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5ACEA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Main economic lever is acquisition advantage vs 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1B6AEA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Per-dose and annual 340B value</w:t>
            </w:r>
          </w:p>
        </w:tc>
      </w:tr>
      <w:tr w:rsidR="0027634F" w:rsidRPr="0027634F" w14:paraId="08FBAAB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464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D76D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Effective Jan.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35471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HOPD payment predictability improves early in launch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DF4F22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Pass-through scenario</w:t>
            </w:r>
          </w:p>
        </w:tc>
      </w:tr>
      <w:tr w:rsidR="0027634F" w:rsidRPr="0027634F" w14:paraId="0E8A1FD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D157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8FB6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Effective Apr. 1, 2027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A1C43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Claim clarity improves after the bridge period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F20A84"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Permanent-code scenario</w:t>
            </w:r>
          </w:p>
        </w:tc>
      </w:tr>
      <w:tr w:rsidR="0027634F" w:rsidRPr="0027634F" w14:paraId="3C6258D9"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F3D27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Beren support tools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DF1AB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 denial, billing, and access tools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11C53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Commercial friction is expected but addressable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C8835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Tool checklist</w:t>
            </w:r>
          </w:p>
        </w:tc>
      </w:tr>
      <w:tr w:rsidR="0027634F" w:rsidRPr="0027634F" w14:paraId="6EF3E7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3F74CEF"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Provider economics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4F26F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 COE margin is structurally advantaged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96D02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“The economics can work at the right sites.”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BB929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Net margin output</w:t>
            </w:r>
          </w:p>
        </w:tc>
      </w:tr>
    </w:tbl>
    <w:p w14:paraId="1DF78867"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108D9890">
          <v:rect id="_x0000_i1026" alt="" style="width:468pt;height:.05pt;mso-width-percent:0;mso-height-percent:0;mso-width-percent:0;mso-height-percent:0" o:hralign="center" o:hrstd="t" o:hr="t" fillcolor="#a0a0a0" stroked="f"/>
        </w:pict>
      </w:r>
    </w:p>
    <w:p w14:paraId="3C38AAF7"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11. Revised Calculator Default Assumption Matrix</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238"/>
        <w:gridCol w:w="3001"/>
        <w:gridCol w:w="4105"/>
      </w:tblGrid>
      <w:tr w:rsidR="0027634F" w:rsidRPr="0027634F" w14:paraId="6667E895"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5038D83"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Input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5458B4E1"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Old / Broad Model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shd w:val="clear" w:color="auto" w:fill="1F4E78"/>
          </w:tcPr>
          <w:p w14:paraId="6A1FF0DB" w14:textId="77777777" w:rsidR="0027634F" w:rsidRPr="0027634F" w:rsidRDefault="0027634F" w:rsidP="0027634F">
            <w:pPr>
              <w:spacing w:after="80" w:before="0"/>
              <w:jc w:val="center"/>
              <w:rPr>
                <w:rFonts w:ascii="Times New Roman" w:eastAsia="Times New Roman" w:hAnsi="Times New Roman" w:cs="Times New Roman"/>
                <w:b/>
                <w:bCs/>
                <w:kern w:val="0"/>
                <w14:ligatures w14:val="none"/>
              </w:rPr>
            </w:pPr>
            <w:r w:rsidRPr="0027634F">
              <w:rPr>
                <w:rFonts w:ascii="Calibri" w:eastAsia="Calibri" w:hAnsi="Calibri" w:cs="Calibri"/>
                <w:b/>
                <w:bCs/>
                <w:color w:val="FFFFFF"/>
                <w:kern w:val="0"/>
                <w14:ligatures w14:val="none"/>
                <w:sz w:val="22"/>
              </w:rPr>
              <w:t>Revised ARM Training Default</w:t>
            </w:r>
          </w:p>
        </w:tc>
      </w:tr>
      <w:tr w:rsidR="0027634F" w:rsidRPr="0027634F" w14:paraId="42B887E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5292F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Site type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DCEAB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HOPD / office / community / COE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25584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COE / pediatric specialty hospital</w:t>
            </w:r>
          </w:p>
        </w:tc>
      </w:tr>
      <w:tr w:rsidR="0027634F" w:rsidRPr="0027634F" w14:paraId="56CDCBF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42F9F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340B</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7C7063"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Toggle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F0893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Default = Yes</w:t>
            </w:r>
          </w:p>
        </w:tc>
      </w:tr>
      <w:tr w:rsidR="0027634F" w:rsidRPr="0027634F" w14:paraId="4676C62E"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17993B"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WAC</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5E2AA1"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B960CD2"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$39,000</w:t>
            </w:r>
          </w:p>
        </w:tc>
      </w:tr>
      <w:tr w:rsidR="0027634F" w:rsidRPr="0027634F" w14:paraId="2395CC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9DB02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Dosing</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7B68B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Every 2 weeks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6BFB5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Every 2 weeks</w:t>
            </w:r>
          </w:p>
        </w:tc>
      </w:tr>
      <w:tr w:rsidR="0027634F" w:rsidRPr="0027634F" w14:paraId="768F444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C34A8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Annual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0ECB0D"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90796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26</w:t>
            </w:r>
          </w:p>
        </w:tc>
      </w:tr>
      <w:tr w:rsidR="0027634F" w:rsidRPr="0027634F" w14:paraId="3828F3B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3B5765"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Pre-ASP administrations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C94A46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13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7477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13</w:t>
            </w:r>
          </w:p>
        </w:tc>
      </w:tr>
      <w:tr w:rsidR="0027634F" w:rsidRPr="0027634F" w14:paraId="3573B20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ABE0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Pass-through</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AF8C06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Scenario-dependent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F9E930"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Effective Jan. 1, 2027</w:t>
            </w:r>
          </w:p>
        </w:tc>
      </w:tr>
      <w:tr w:rsidR="0027634F" w:rsidRPr="0027634F" w14:paraId="3C87232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80827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Permanent HCPCS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71AE31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Scenario-dependent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8759A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Effective Apr. 1, 2027</w:t>
            </w:r>
          </w:p>
        </w:tc>
      </w:tr>
      <w:tr w:rsidR="0027634F" w:rsidRPr="0027634F" w14:paraId="3A902E6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5C4D9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Commercial friction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B1932BC"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Risk factors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BC1576"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Expected, mitigated with Beren tools</w:t>
            </w:r>
          </w:p>
        </w:tc>
      </w:tr>
      <w:tr w:rsidR="0027634F" w:rsidRPr="0027634F" w14:paraId="1B832EB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1EE4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Non-340B support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2EFC1A"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Major scenario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8A30E9"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Secondary / sensitivity only</w:t>
            </w:r>
          </w:p>
        </w:tc>
      </w:tr>
      <w:tr w:rsidR="0027634F" w:rsidRPr="0027634F" w14:paraId="4FAF448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A3F4AE"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Core output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EE74A7"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Compare all channels</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E0268" w14:textId="77777777" w:rsidR="0027634F" w:rsidRPr="0027634F" w:rsidRDefault="0027634F" w:rsidP="0027634F">
            <w:pPr>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Show 340B COE value and operational readiness</w:t>
            </w:r>
          </w:p>
        </w:tc>
      </w:tr>
    </w:tbl>
    <w:p w14:paraId="11E47C02" w14:textId="77777777" w:rsidR="0027634F" w:rsidRPr="0027634F" w:rsidRDefault="005162B5" w:rsidP="0027634F">
      <w:pPr>
        <w:spacing w:before="0" w:beforeAutospacing="0" w:after="0" w:afterAutospacing="0"/>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0691BE1">
          <v:rect id="_x0000_i1025" alt="" style="width:468pt;height:.05pt;mso-width-percent:0;mso-height-percent:0;mso-width-percent:0;mso-height-percent:0" o:hralign="center" o:hrstd="t" o:hr="t" fillcolor="#a0a0a0" stroked="f"/>
        </w:pict>
      </w:r>
    </w:p>
    <w:p w14:paraId="05761C77" w14:textId="77777777" w:rsidR="0027634F" w:rsidRPr="0027634F" w:rsidRDefault="0027634F" w:rsidP="0027634F">
      <w:pPr>
        <w:pStyle w:val="Heading1"/>
        <w:spacing w:after="120" w:before="0" w:line="276" w:lineRule="auto"/>
        <w:outlineLvl w:val="1"/>
        <w:rPr>
          <w:rFonts w:ascii="Times New Roman" w:eastAsia="Times New Roman" w:hAnsi="Times New Roman" w:cs="Times New Roman"/>
          <w:b/>
          <w:bCs/>
          <w:kern w:val="0"/>
          <w:sz w:val="36"/>
          <w:szCs w:val="36"/>
          <w14:ligatures w14:val="none"/>
        </w:rPr>
      </w:pPr>
      <w:r w:rsidRPr="0027634F">
        <w:rPr>
          <w:rFonts w:ascii="Calibri" w:eastAsia="Calibri" w:hAnsi="Calibri" w:cs="Calibri"/>
          <w:b/>
          <w:bCs/>
          <w:kern w:val="0"/>
          <w:sz w:val="22"/>
          <w:szCs w:val="36"/>
          <w14:ligatures w14:val="none"/>
        </w:rPr>
        <w:t>12. Final ARM Training Thesis</w:t>
      </w:r>
    </w:p>
    <w:p w14:paraId="1F2EBC80"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Adrabetadex launch adoption will be COE-led. Because the target centers are 340B entities, the provider value story is not primarily about rescuing fragile non-340B economics. It is about showing 340B centers that Adrabetadex can be administered through a predictable reimbursement pathway once pass-through, interim billing support, permanent HCPCS timing, and payer-access tools are understood.</w:t>
      </w:r>
    </w:p>
    <w:p w14:paraId="5F0247F9" w14:textId="77777777" w:rsidR="0027634F" w:rsidRPr="0027634F" w:rsidRDefault="0027634F" w:rsidP="0027634F">
      <w:pPr>
        <w:pStyle w:val="Heading2"/>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kern w:val="0"/>
          <w14:ligatures w14:val="none"/>
          <w:sz w:val="22"/>
        </w:rPr>
        <w:t>The practical message:</w:t>
      </w:r>
    </w:p>
    <w:p w14:paraId="7590149D" w14:textId="77777777" w:rsidR="0027634F" w:rsidRPr="0027634F" w:rsidRDefault="0027634F" w:rsidP="0027634F">
      <w:pPr>
        <w:spacing w:after="120" w:before="0" w:line="276" w:lineRule="auto"/>
        <w:rPr>
          <w:rFonts w:ascii="Times New Roman" w:eastAsia="Times New Roman" w:hAnsi="Times New Roman" w:cs="Times New Roman"/>
          <w:kern w:val="0"/>
          <w14:ligatures w14:val="none"/>
        </w:rPr>
      </w:pPr>
      <w:r w:rsidRPr="0027634F">
        <w:rPr>
          <w:rFonts w:ascii="Calibri" w:eastAsia="Calibri" w:hAnsi="Calibri" w:cs="Calibri"/>
          <w:b/>
          <w:bCs/>
          <w:kern w:val="0"/>
          <w14:ligatures w14:val="none"/>
          <w:sz w:val="22"/>
        </w:rPr>
        <w:t>At the target sites, the economics can work. The ARM job is to make the pathway visible, reduce reimbursement uncertainty, and show the institution how 340B acquisition, pass-through timing, clean billing, and Beren’s access tools convert clinical interest into operational adoption.</w:t>
      </w:r>
    </w:p>
    <w:p w14:paraId="5A7EFD4C" w14:textId="77777777" w:rsidR="00CE6975" w:rsidRDefault="00CE6975"/>
    <w:p>
      <w:pPr>
        <w:pStyle w:val="Heading2"/>
        <w:spacing w:after="120" w:before="0" w:line="276" w:lineRule="auto"/>
      </w:pPr>
      <w:r>
        <w:rPr>
          <w:rFonts w:ascii="Calibri" w:hAnsi="Calibri" w:eastAsia="Calibri" w:cs="Calibri"/>
          <w:sz w:val="22"/>
        </w:rPr>
        <w:t>Codex implementation mapping</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shd w:val="clear" w:color="auto" w:fill="1F4E78"/>
          </w:tcPr>
          <w:p>
            <w:pPr>
              <w:spacing w:after="80" w:before="0"/>
              <w:jc w:val="center"/>
            </w:pPr>
            <w:r>
              <w:rPr>
                <w:rFonts w:ascii="Calibri" w:hAnsi="Calibri" w:eastAsia="Calibri" w:cs="Calibri"/>
                <w:b/>
                <w:color w:val="FFFFFF"/>
                <w:sz w:val="22"/>
              </w:rPr>
              <w:t>Assumption ID</w:t>
            </w:r>
          </w:p>
        </w:tc>
        <w:tc>
          <w:tcPr>
            <w:tcW w:type="dxa" w:w="1337"/>
            <w:shd w:val="clear" w:color="auto" w:fill="1F4E78"/>
          </w:tcPr>
          <w:p>
            <w:pPr>
              <w:spacing w:after="80" w:before="0"/>
              <w:jc w:val="center"/>
            </w:pPr>
            <w:r>
              <w:rPr>
                <w:rFonts w:ascii="Calibri" w:hAnsi="Calibri" w:eastAsia="Calibri" w:cs="Calibri"/>
                <w:b/>
                <w:color w:val="FFFFFF"/>
                <w:sz w:val="22"/>
              </w:rPr>
              <w:t>Training Guide</w:t>
            </w:r>
          </w:p>
        </w:tc>
        <w:tc>
          <w:tcPr>
            <w:tcW w:type="dxa" w:w="1337"/>
            <w:shd w:val="clear" w:color="auto" w:fill="1F4E78"/>
          </w:tcPr>
          <w:p>
            <w:pPr>
              <w:spacing w:after="80" w:before="0"/>
              <w:jc w:val="center"/>
            </w:pPr>
            <w:r>
              <w:rPr>
                <w:rFonts w:ascii="Calibri" w:hAnsi="Calibri" w:eastAsia="Calibri" w:cs="Calibri"/>
                <w:b/>
                <w:color w:val="FFFFFF"/>
                <w:sz w:val="22"/>
              </w:rPr>
              <w:t>PowerPoint</w:t>
            </w:r>
          </w:p>
        </w:tc>
        <w:tc>
          <w:tcPr>
            <w:tcW w:type="dxa" w:w="1337"/>
            <w:shd w:val="clear" w:color="auto" w:fill="1F4E78"/>
          </w:tcPr>
          <w:p>
            <w:pPr>
              <w:spacing w:after="80" w:before="0"/>
              <w:jc w:val="center"/>
            </w:pPr>
            <w:r>
              <w:rPr>
                <w:rFonts w:ascii="Calibri" w:hAnsi="Calibri" w:eastAsia="Calibri" w:cs="Calibri"/>
                <w:b/>
                <w:color w:val="FFFFFF"/>
                <w:sz w:val="22"/>
              </w:rPr>
              <w:t>Calculator</w:t>
            </w:r>
          </w:p>
        </w:tc>
        <w:tc>
          <w:tcPr>
            <w:tcW w:type="dxa" w:w="1337"/>
            <w:shd w:val="clear" w:color="auto" w:fill="1F4E78"/>
          </w:tcPr>
          <w:p>
            <w:pPr>
              <w:spacing w:after="80" w:before="0"/>
              <w:jc w:val="center"/>
            </w:pPr>
            <w:r>
              <w:rPr>
                <w:rFonts w:ascii="Calibri" w:hAnsi="Calibri" w:eastAsia="Calibri" w:cs="Calibri"/>
                <w:b/>
                <w:color w:val="FFFFFF"/>
                <w:sz w:val="22"/>
              </w:rPr>
              <w:t>One-Page PDF</w:t>
            </w:r>
          </w:p>
        </w:tc>
        <w:tc>
          <w:tcPr>
            <w:tcW w:type="dxa" w:w="1337"/>
            <w:shd w:val="clear" w:color="auto" w:fill="1F4E78"/>
          </w:tcPr>
          <w:p>
            <w:pPr>
              <w:spacing w:after="80" w:before="0"/>
              <w:jc w:val="center"/>
            </w:pPr>
            <w:r>
              <w:rPr>
                <w:rFonts w:ascii="Calibri" w:hAnsi="Calibri" w:eastAsia="Calibri" w:cs="Calibri"/>
                <w:b/>
                <w:color w:val="FFFFFF"/>
                <w:sz w:val="22"/>
              </w:rPr>
              <w:t>Billing Reference</w:t>
            </w:r>
          </w:p>
        </w:tc>
        <w:tc>
          <w:tcPr>
            <w:tcW w:type="dxa" w:w="1337"/>
            <w:shd w:val="clear" w:color="auto" w:fill="1F4E78"/>
          </w:tcPr>
          <w:p>
            <w:pPr>
              <w:spacing w:after="80" w:before="0"/>
              <w:jc w:val="center"/>
            </w:pPr>
            <w:r>
              <w:rPr>
                <w:rFonts w:ascii="Calibri" w:hAnsi="Calibri" w:eastAsia="Calibri" w:cs="Calibri"/>
                <w:b/>
                <w:color w:val="FFFFFF"/>
                <w:sz w:val="22"/>
              </w:rPr>
              <w:t>Notes</w:t>
            </w:r>
          </w:p>
        </w:tc>
      </w:tr>
      <w:tr>
        <w:tc>
          <w:tcPr>
            <w:tcW w:type="dxa" w:w="1337"/>
          </w:tcPr>
          <w:p>
            <w:r>
              <w:rPr>
                <w:rFonts w:ascii="Calibri" w:hAnsi="Calibri" w:eastAsia="Calibri" w:cs="Calibri"/>
                <w:sz w:val="22"/>
              </w:rPr>
              <w:t>A1</w:t>
            </w:r>
          </w:p>
        </w:tc>
        <w:tc>
          <w:tcPr>
            <w:tcW w:type="dxa" w:w="1337"/>
          </w:tcPr>
          <w:p>
            <w:r>
              <w:rPr>
                <w:rFonts w:ascii="Calibri" w:hAnsi="Calibri" w:eastAsia="Calibri" w:cs="Calibri"/>
                <w:sz w:val="22"/>
              </w:rPr>
              <w:t>Executive summary figures and key assumptions section</w:t>
            </w:r>
          </w:p>
        </w:tc>
        <w:tc>
          <w:tcPr>
            <w:tcW w:type="dxa" w:w="1337"/>
          </w:tcPr>
          <w:p>
            <w:r>
              <w:rPr>
                <w:rFonts w:ascii="Calibri" w:hAnsi="Calibri" w:eastAsia="Calibri" w:cs="Calibri"/>
                <w:sz w:val="22"/>
              </w:rPr>
              <w:t>Opening quantitative frame slide</w:t>
            </w:r>
          </w:p>
        </w:tc>
        <w:tc>
          <w:tcPr>
            <w:tcW w:type="dxa" w:w="1337"/>
          </w:tcPr>
          <w:p>
            <w:r>
              <w:rPr>
                <w:rFonts w:ascii="Calibri" w:hAnsi="Calibri" w:eastAsia="Calibri" w:cs="Calibri"/>
                <w:sz w:val="22"/>
              </w:rPr>
              <w:t>Default WAC/dose/frequency inputs</w:t>
            </w:r>
          </w:p>
        </w:tc>
        <w:tc>
          <w:tcPr>
            <w:tcW w:type="dxa" w:w="1337"/>
          </w:tcPr>
          <w:p>
            <w:r>
              <w:rPr>
                <w:rFonts w:ascii="Calibri" w:hAnsi="Calibri" w:eastAsia="Calibri" w:cs="Calibri"/>
                <w:sz w:val="22"/>
              </w:rPr>
              <w:t>Top-line numbers block</w:t>
            </w:r>
          </w:p>
        </w:tc>
        <w:tc>
          <w:tcPr>
            <w:tcW w:type="dxa" w:w="1337"/>
          </w:tcPr>
          <w:p>
            <w:r>
              <w:rPr>
                <w:rFonts w:ascii="Calibri" w:hAnsi="Calibri" w:eastAsia="Calibri" w:cs="Calibri"/>
                <w:sz w:val="22"/>
              </w:rPr>
              <w:t>Referenced as planning baseline only</w:t>
            </w:r>
          </w:p>
        </w:tc>
        <w:tc>
          <w:tcPr>
            <w:tcW w:type="dxa" w:w="1337"/>
          </w:tcPr>
          <w:p>
            <w:r>
              <w:rPr>
                <w:rFonts w:ascii="Calibri" w:hAnsi="Calibri" w:eastAsia="Calibri" w:cs="Calibri"/>
                <w:sz w:val="22"/>
              </w:rPr>
              <w:t>Scenario-specific economics; does not guarantee payment</w:t>
            </w:r>
          </w:p>
        </w:tc>
      </w:tr>
      <w:tr>
        <w:tc>
          <w:tcPr>
            <w:tcW w:type="dxa" w:w="1337"/>
          </w:tcPr>
          <w:p>
            <w:r>
              <w:rPr>
                <w:rFonts w:ascii="Calibri" w:hAnsi="Calibri" w:eastAsia="Calibri" w:cs="Calibri"/>
                <w:sz w:val="22"/>
              </w:rPr>
              <w:t>A2</w:t>
            </w:r>
          </w:p>
        </w:tc>
        <w:tc>
          <w:tcPr>
            <w:tcW w:type="dxa" w:w="1337"/>
          </w:tcPr>
          <w:p>
            <w:r>
              <w:rPr>
                <w:rFonts w:ascii="Calibri" w:hAnsi="Calibri" w:eastAsia="Calibri" w:cs="Calibri"/>
                <w:sz w:val="22"/>
              </w:rPr>
              <w:t>Launch timeline and sequencing language</w:t>
            </w:r>
          </w:p>
        </w:tc>
        <w:tc>
          <w:tcPr>
            <w:tcW w:type="dxa" w:w="1337"/>
          </w:tcPr>
          <w:p>
            <w:r>
              <w:rPr>
                <w:rFonts w:ascii="Calibri" w:hAnsi="Calibri" w:eastAsia="Calibri" w:cs="Calibri"/>
                <w:sz w:val="22"/>
              </w:rPr>
              <w:t>Timeline slide with if-granted/if-assigned qualifiers</w:t>
            </w:r>
          </w:p>
        </w:tc>
        <w:tc>
          <w:tcPr>
            <w:tcW w:type="dxa" w:w="1337"/>
          </w:tcPr>
          <w:p>
            <w:r>
              <w:rPr>
                <w:rFonts w:ascii="Calibri" w:hAnsi="Calibri" w:eastAsia="Calibri" w:cs="Calibri"/>
                <w:sz w:val="22"/>
              </w:rPr>
              <w:t>Date-state toggles for launch/pass-through/HCPCS</w:t>
            </w:r>
          </w:p>
        </w:tc>
        <w:tc>
          <w:tcPr>
            <w:tcW w:type="dxa" w:w="1337"/>
          </w:tcPr>
          <w:p>
            <w:r>
              <w:rPr>
                <w:rFonts w:ascii="Calibri" w:hAnsi="Calibri" w:eastAsia="Calibri" w:cs="Calibri"/>
                <w:sz w:val="22"/>
              </w:rPr>
              <w:t>Timeline callout row</w:t>
            </w:r>
          </w:p>
        </w:tc>
        <w:tc>
          <w:tcPr>
            <w:tcW w:type="dxa" w:w="1337"/>
          </w:tcPr>
          <w:p>
            <w:r>
              <w:rPr>
                <w:rFonts w:ascii="Calibri" w:hAnsi="Calibri" w:eastAsia="Calibri" w:cs="Calibri"/>
                <w:sz w:val="22"/>
              </w:rPr>
              <w:t>Timeline table with verification prompts</w:t>
            </w:r>
          </w:p>
        </w:tc>
        <w:tc>
          <w:tcPr>
            <w:tcW w:type="dxa" w:w="1337"/>
          </w:tcPr>
          <w:p>
            <w:r>
              <w:rPr>
                <w:rFonts w:ascii="Calibri" w:hAnsi="Calibri" w:eastAsia="Calibri" w:cs="Calibri"/>
                <w:sz w:val="22"/>
              </w:rPr>
              <w:t>Mark as planning timeline pending external confirmation</w:t>
            </w:r>
          </w:p>
        </w:tc>
      </w:tr>
      <w:tr>
        <w:tc>
          <w:tcPr>
            <w:tcW w:type="dxa" w:w="1337"/>
          </w:tcPr>
          <w:p>
            <w:r>
              <w:rPr>
                <w:rFonts w:ascii="Calibri" w:hAnsi="Calibri" w:eastAsia="Calibri" w:cs="Calibri"/>
                <w:sz w:val="22"/>
              </w:rPr>
              <w:t>A3</w:t>
            </w:r>
          </w:p>
        </w:tc>
        <w:tc>
          <w:tcPr>
            <w:tcW w:type="dxa" w:w="1337"/>
          </w:tcPr>
          <w:p>
            <w:r>
              <w:rPr>
                <w:rFonts w:ascii="Calibri" w:hAnsi="Calibri" w:eastAsia="Calibri" w:cs="Calibri"/>
                <w:sz w:val="22"/>
              </w:rPr>
              <w:t>COE-led default scenario positioning</w:t>
            </w:r>
          </w:p>
        </w:tc>
        <w:tc>
          <w:tcPr>
            <w:tcW w:type="dxa" w:w="1337"/>
          </w:tcPr>
          <w:p>
            <w:r>
              <w:rPr>
                <w:rFonts w:ascii="Calibri" w:hAnsi="Calibri" w:eastAsia="Calibri" w:cs="Calibri"/>
                <w:sz w:val="22"/>
              </w:rPr>
              <w:t>Target-account prioritization slide</w:t>
            </w:r>
          </w:p>
        </w:tc>
        <w:tc>
          <w:tcPr>
            <w:tcW w:type="dxa" w:w="1337"/>
          </w:tcPr>
          <w:p>
            <w:r>
              <w:rPr>
                <w:rFonts w:ascii="Calibri" w:hAnsi="Calibri" w:eastAsia="Calibri" w:cs="Calibri"/>
                <w:sz w:val="22"/>
              </w:rPr>
              <w:t>Default site type = COE/HOPD and 340B = Yes</w:t>
            </w:r>
          </w:p>
        </w:tc>
        <w:tc>
          <w:tcPr>
            <w:tcW w:type="dxa" w:w="1337"/>
          </w:tcPr>
          <w:p>
            <w:r>
              <w:rPr>
                <w:rFonts w:ascii="Calibri" w:hAnsi="Calibri" w:eastAsia="Calibri" w:cs="Calibri"/>
                <w:sz w:val="22"/>
              </w:rPr>
              <w:t>Default scenario summary</w:t>
            </w:r>
          </w:p>
        </w:tc>
        <w:tc>
          <w:tcPr>
            <w:tcW w:type="dxa" w:w="1337"/>
          </w:tcPr>
          <w:p>
            <w:r>
              <w:rPr>
                <w:rFonts w:ascii="Calibri" w:hAnsi="Calibri" w:eastAsia="Calibri" w:cs="Calibri"/>
                <w:sz w:val="22"/>
              </w:rPr>
              <w:t>Hospital outpatient checklist emphasis</w:t>
            </w:r>
          </w:p>
        </w:tc>
        <w:tc>
          <w:tcPr>
            <w:tcW w:type="dxa" w:w="1337"/>
          </w:tcPr>
          <w:p>
            <w:r>
              <w:rPr>
                <w:rFonts w:ascii="Calibri" w:hAnsi="Calibri" w:eastAsia="Calibri" w:cs="Calibri"/>
                <w:sz w:val="22"/>
              </w:rPr>
              <w:t>Institution-specific validation still required</w:t>
            </w:r>
          </w:p>
        </w:tc>
      </w:tr>
      <w:tr>
        <w:tc>
          <w:tcPr>
            <w:tcW w:type="dxa" w:w="1337"/>
          </w:tcPr>
          <w:p>
            <w:r>
              <w:rPr>
                <w:rFonts w:ascii="Calibri" w:hAnsi="Calibri" w:eastAsia="Calibri" w:cs="Calibri"/>
                <w:sz w:val="22"/>
              </w:rPr>
              <w:t>A4</w:t>
            </w:r>
          </w:p>
        </w:tc>
        <w:tc>
          <w:tcPr>
            <w:tcW w:type="dxa" w:w="1337"/>
          </w:tcPr>
          <w:p>
            <w:r>
              <w:rPr>
                <w:rFonts w:ascii="Calibri" w:hAnsi="Calibri" w:eastAsia="Calibri" w:cs="Calibri"/>
                <w:sz w:val="22"/>
              </w:rPr>
              <w:t>Non-340B described as sensitivity only</w:t>
            </w:r>
          </w:p>
        </w:tc>
        <w:tc>
          <w:tcPr>
            <w:tcW w:type="dxa" w:w="1337"/>
          </w:tcPr>
          <w:p>
            <w:r>
              <w:rPr>
                <w:rFonts w:ascii="Calibri" w:hAnsi="Calibri" w:eastAsia="Calibri" w:cs="Calibri"/>
                <w:sz w:val="22"/>
              </w:rPr>
              <w:t>Sensitivity appendix slide</w:t>
            </w:r>
          </w:p>
        </w:tc>
        <w:tc>
          <w:tcPr>
            <w:tcW w:type="dxa" w:w="1337"/>
          </w:tcPr>
          <w:p>
            <w:r>
              <w:rPr>
                <w:rFonts w:ascii="Calibri" w:hAnsi="Calibri" w:eastAsia="Calibri" w:cs="Calibri"/>
                <w:sz w:val="22"/>
              </w:rPr>
              <w:t>Sensitivity toggle only (non-default)</w:t>
            </w:r>
          </w:p>
        </w:tc>
        <w:tc>
          <w:tcPr>
            <w:tcW w:type="dxa" w:w="1337"/>
          </w:tcPr>
          <w:p>
            <w:r>
              <w:rPr>
                <w:rFonts w:ascii="Calibri" w:hAnsi="Calibri" w:eastAsia="Calibri" w:cs="Calibri"/>
                <w:sz w:val="22"/>
              </w:rPr>
              <w:t>Sensitivity footnote</w:t>
            </w:r>
          </w:p>
        </w:tc>
        <w:tc>
          <w:tcPr>
            <w:tcW w:type="dxa" w:w="1337"/>
          </w:tcPr>
          <w:p>
            <w:r>
              <w:rPr>
                <w:rFonts w:ascii="Calibri" w:hAnsi="Calibri" w:eastAsia="Calibri" w:cs="Calibri"/>
                <w:sz w:val="22"/>
              </w:rPr>
              <w:t>Professional/commercial pathway caution</w:t>
            </w:r>
          </w:p>
        </w:tc>
        <w:tc>
          <w:tcPr>
            <w:tcW w:type="dxa" w:w="1337"/>
          </w:tcPr>
          <w:p>
            <w:r>
              <w:rPr>
                <w:rFonts w:ascii="Calibri" w:hAnsi="Calibri" w:eastAsia="Calibri" w:cs="Calibri"/>
                <w:sz w:val="22"/>
              </w:rPr>
              <w:t>Avoid presenting non-340B as expected baseline</w:t>
            </w:r>
          </w:p>
        </w:tc>
      </w:tr>
      <w:tr>
        <w:tc>
          <w:tcPr>
            <w:tcW w:type="dxa" w:w="1337"/>
          </w:tcPr>
          <w:p>
            <w:r>
              <w:rPr>
                <w:rFonts w:ascii="Calibri" w:hAnsi="Calibri" w:eastAsia="Calibri" w:cs="Calibri"/>
                <w:sz w:val="22"/>
              </w:rPr>
              <w:t>A5</w:t>
            </w:r>
          </w:p>
        </w:tc>
        <w:tc>
          <w:tcPr>
            <w:tcW w:type="dxa" w:w="1337"/>
          </w:tcPr>
          <w:p>
            <w:r>
              <w:rPr>
                <w:rFonts w:ascii="Calibri" w:hAnsi="Calibri" w:eastAsia="Calibri" w:cs="Calibri"/>
                <w:sz w:val="22"/>
              </w:rPr>
              <w:t>References billing reference for code-level details</w:t>
            </w:r>
          </w:p>
        </w:tc>
        <w:tc>
          <w:tcPr>
            <w:tcW w:type="dxa" w:w="1337"/>
          </w:tcPr>
          <w:p>
            <w:r>
              <w:rPr>
                <w:rFonts w:ascii="Calibri" w:hAnsi="Calibri" w:eastAsia="Calibri" w:cs="Calibri"/>
                <w:sz w:val="22"/>
              </w:rPr>
              <w:t>Compliance and verification slide</w:t>
            </w:r>
          </w:p>
        </w:tc>
        <w:tc>
          <w:tcPr>
            <w:tcW w:type="dxa" w:w="1337"/>
          </w:tcPr>
          <w:p>
            <w:r>
              <w:rPr>
                <w:rFonts w:ascii="Calibri" w:hAnsi="Calibri" w:eastAsia="Calibri" w:cs="Calibri"/>
                <w:sz w:val="22"/>
              </w:rPr>
              <w:t>No hard-coded billing guarantee outputs</w:t>
            </w:r>
          </w:p>
        </w:tc>
        <w:tc>
          <w:tcPr>
            <w:tcW w:type="dxa" w:w="1337"/>
          </w:tcPr>
          <w:p>
            <w:r>
              <w:rPr>
                <w:rFonts w:ascii="Calibri" w:hAnsi="Calibri" w:eastAsia="Calibri" w:cs="Calibri"/>
                <w:sz w:val="22"/>
              </w:rPr>
              <w:t>Validation note only</w:t>
            </w:r>
          </w:p>
        </w:tc>
        <w:tc>
          <w:tcPr>
            <w:tcW w:type="dxa" w:w="1337"/>
          </w:tcPr>
          <w:p>
            <w:r>
              <w:rPr>
                <w:rFonts w:ascii="Calibri" w:hAnsi="Calibri" w:eastAsia="Calibri" w:cs="Calibri"/>
                <w:sz w:val="22"/>
              </w:rPr>
              <w:t>Primary home for procedural coding flags</w:t>
            </w:r>
          </w:p>
        </w:tc>
        <w:tc>
          <w:tcPr>
            <w:tcW w:type="dxa" w:w="1337"/>
          </w:tcPr>
          <w:p>
            <w:r>
              <w:rPr>
                <w:rFonts w:ascii="Calibri" w:hAnsi="Calibri" w:eastAsia="Calibri" w:cs="Calibri"/>
                <w:sz w:val="22"/>
              </w:rPr>
              <w:t>External validation needed before claim submission</w:t>
            </w:r>
          </w:p>
        </w:tc>
      </w:tr>
      <w:tr>
        <w:tc>
          <w:tcPr>
            <w:tcW w:type="dxa" w:w="1337"/>
          </w:tcPr>
          <w:p>
            <w:r>
              <w:rPr>
                <w:rFonts w:ascii="Calibri" w:hAnsi="Calibri" w:eastAsia="Calibri" w:cs="Calibri"/>
                <w:sz w:val="22"/>
              </w:rPr>
              <w:t>A6</w:t>
            </w:r>
          </w:p>
        </w:tc>
        <w:tc>
          <w:tcPr>
            <w:tcW w:type="dxa" w:w="1337"/>
          </w:tcPr>
          <w:p>
            <w:r>
              <w:rPr>
                <w:rFonts w:ascii="Calibri" w:hAnsi="Calibri" w:eastAsia="Calibri" w:cs="Calibri"/>
                <w:sz w:val="22"/>
              </w:rPr>
              <w:t>Objection handling and ARM workflow section</w:t>
            </w:r>
          </w:p>
        </w:tc>
        <w:tc>
          <w:tcPr>
            <w:tcW w:type="dxa" w:w="1337"/>
          </w:tcPr>
          <w:p>
            <w:r>
              <w:rPr>
                <w:rFonts w:ascii="Calibri" w:hAnsi="Calibri" w:eastAsia="Calibri" w:cs="Calibri"/>
                <w:sz w:val="22"/>
              </w:rPr>
              <w:t>Access-friction mitigation slide</w:t>
            </w:r>
          </w:p>
        </w:tc>
        <w:tc>
          <w:tcPr>
            <w:tcW w:type="dxa" w:w="1337"/>
          </w:tcPr>
          <w:p>
            <w:r>
              <w:rPr>
                <w:rFonts w:ascii="Calibri" w:hAnsi="Calibri" w:eastAsia="Calibri" w:cs="Calibri"/>
                <w:sz w:val="22"/>
              </w:rPr>
              <w:t>Denial/rework and sourcing assumptions</w:t>
            </w:r>
          </w:p>
        </w:tc>
        <w:tc>
          <w:tcPr>
            <w:tcW w:type="dxa" w:w="1337"/>
          </w:tcPr>
          <w:p>
            <w:r>
              <w:rPr>
                <w:rFonts w:ascii="Calibri" w:hAnsi="Calibri" w:eastAsia="Calibri" w:cs="Calibri"/>
                <w:sz w:val="22"/>
              </w:rPr>
              <w:t>Risk disclaimer row</w:t>
            </w:r>
          </w:p>
        </w:tc>
        <w:tc>
          <w:tcPr>
            <w:tcW w:type="dxa" w:w="1337"/>
          </w:tcPr>
          <w:p>
            <w:r>
              <w:rPr>
                <w:rFonts w:ascii="Calibri" w:hAnsi="Calibri" w:eastAsia="Calibri" w:cs="Calibri"/>
                <w:sz w:val="22"/>
              </w:rPr>
              <w:t>Checklist and reminder blocks</w:t>
            </w:r>
          </w:p>
        </w:tc>
        <w:tc>
          <w:tcPr>
            <w:tcW w:type="dxa" w:w="1337"/>
          </w:tcPr>
          <w:p>
            <w:r>
              <w:rPr>
                <w:rFonts w:ascii="Calibri" w:hAnsi="Calibri" w:eastAsia="Calibri" w:cs="Calibri"/>
                <w:sz w:val="22"/>
              </w:rPr>
              <w:t>Use cautious language: expected/verify/payer-specific</w:t>
            </w:r>
          </w:p>
        </w:tc>
      </w:tr>
    </w:tbl>
    <w:sectPr w:rsidR="00CE6975">
      <w:pgSz w:w="12240" w:h="15840"/>
      <w:pgMar w:top="1181" w:right="1080" w:bottom="1181"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049D9"/>
    <w:multiLevelType w:val="multilevel"/>
    <w:tmpl w:val="BAF0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8353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34F"/>
    <w:rsid w:val="0027634F"/>
    <w:rsid w:val="003058A5"/>
    <w:rsid w:val="00437277"/>
    <w:rsid w:val="004D09E2"/>
    <w:rsid w:val="005162B5"/>
    <w:rsid w:val="00746CAD"/>
    <w:rsid w:val="009808CF"/>
    <w:rsid w:val="00AD4CCB"/>
    <w:rsid w:val="00C22BAC"/>
    <w:rsid w:val="00CE6975"/>
    <w:rsid w:val="00DC3A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9A4D7"/>
  <w15:chartTrackingRefBased/>
  <w15:docId w15:val="{DDA71AF5-E947-AB4D-A9E2-31564F30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before="100" w:beforeAutospacing="1" w:after="100" w:after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0" w:after="120"/>
    </w:pPr>
    <w:rPr>
      <w:rFonts w:ascii="Calibri" w:hAnsi="Calibri" w:eastAsia="Calibri" w:cs="Calibri"/>
      <w:b w:val="0"/>
      <w:sz w:val="22"/>
    </w:rPr>
  </w:style>
  <w:style w:type="paragraph" w:styleId="Heading1">
    <w:name w:val="heading 1"/>
    <w:basedOn w:val="Normal"/>
    <w:next w:val="Normal"/>
    <w:link w:val="Heading1Char"/>
    <w:uiPriority w:val="9"/>
    <w:qFormat/>
    <w:rsid w:val="0027634F"/>
    <w:pPr>
      <w:keepNext/>
      <w:keepLines/>
      <w:spacing w:before="360" w:after="80"/>
      <w:outlineLvl w:val="0"/>
    </w:pPr>
    <w:rPr>
      <w:rFonts w:asciiTheme="majorHAnsi" w:eastAsiaTheme="majorEastAsia" w:hAnsiTheme="majorHAnsi" w:cstheme="majorBidi" w:ascii="Calibri" w:hAnsi="Calibri"/>
      <w:b/>
      <w:color w:val="1F4E78"/>
      <w:sz w:val="32"/>
      <w:szCs w:val="40"/>
    </w:rPr>
  </w:style>
  <w:style w:type="paragraph" w:styleId="Heading2">
    <w:name w:val="heading 2"/>
    <w:basedOn w:val="Normal"/>
    <w:next w:val="Normal"/>
    <w:link w:val="Heading2Char"/>
    <w:uiPriority w:val="9"/>
    <w:unhideWhenUsed/>
    <w:qFormat/>
    <w:rsid w:val="0027634F"/>
    <w:pPr>
      <w:keepNext/>
      <w:keepLines/>
      <w:spacing w:before="160" w:after="80"/>
      <w:outlineLvl w:val="1"/>
    </w:pPr>
    <w:rPr>
      <w:rFonts w:asciiTheme="majorHAnsi" w:eastAsiaTheme="majorEastAsia" w:hAnsiTheme="majorHAnsi" w:cstheme="majorBidi" w:ascii="Calibri" w:hAnsi="Calibri"/>
      <w:b/>
      <w:color w:val="2F5496" w:themeColor="accent1" w:themeShade="BF"/>
      <w:sz w:val="28"/>
      <w:szCs w:val="32"/>
    </w:rPr>
  </w:style>
  <w:style w:type="paragraph" w:styleId="Heading3">
    <w:name w:val="heading 3"/>
    <w:basedOn w:val="Normal"/>
    <w:next w:val="Normal"/>
    <w:link w:val="Heading3Char"/>
    <w:uiPriority w:val="9"/>
    <w:semiHidden/>
    <w:unhideWhenUsed/>
    <w:qFormat/>
    <w:rsid w:val="0027634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34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34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3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3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34F"/>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34F"/>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34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7634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34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34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34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3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3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3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34F"/>
    <w:rPr>
      <w:rFonts w:eastAsiaTheme="majorEastAsia" w:cstheme="majorBidi"/>
      <w:color w:val="272727" w:themeColor="text1" w:themeTint="D8"/>
    </w:rPr>
  </w:style>
  <w:style w:type="paragraph" w:styleId="Title">
    <w:name w:val="Title"/>
    <w:basedOn w:val="Normal"/>
    <w:next w:val="Normal"/>
    <w:link w:val="TitleChar"/>
    <w:uiPriority w:val="10"/>
    <w:qFormat/>
    <w:rsid w:val="0027634F"/>
    <w:pPr>
      <w:spacing w:before="0" w:after="80"/>
      <w:contextualSpacing/>
    </w:pPr>
    <w:rPr>
      <w:rFonts w:asciiTheme="majorHAnsi" w:eastAsiaTheme="majorEastAsia" w:hAnsiTheme="majorHAnsi" w:cstheme="majorBidi" w:ascii="Calibri" w:hAnsi="Calibri"/>
      <w:b/>
      <w:color w:val="1F4E78"/>
      <w:spacing w:val="-10"/>
      <w:kern w:val="28"/>
      <w:sz w:val="48"/>
      <w:szCs w:val="56"/>
    </w:rPr>
  </w:style>
  <w:style w:type="character" w:customStyle="1" w:styleId="TitleChar">
    <w:name w:val="Title Char"/>
    <w:basedOn w:val="DefaultParagraphFont"/>
    <w:link w:val="Title"/>
    <w:uiPriority w:val="10"/>
    <w:rsid w:val="002763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34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3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34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7634F"/>
    <w:rPr>
      <w:i/>
      <w:iCs/>
      <w:color w:val="404040" w:themeColor="text1" w:themeTint="BF"/>
    </w:rPr>
  </w:style>
  <w:style w:type="paragraph" w:styleId="ListParagraph">
    <w:name w:val="List Paragraph"/>
    <w:basedOn w:val="Normal"/>
    <w:uiPriority w:val="34"/>
    <w:qFormat/>
    <w:rsid w:val="0027634F"/>
    <w:pPr>
      <w:ind w:left="720"/>
      <w:contextualSpacing/>
    </w:pPr>
  </w:style>
  <w:style w:type="character" w:styleId="IntenseEmphasis">
    <w:name w:val="Intense Emphasis"/>
    <w:basedOn w:val="DefaultParagraphFont"/>
    <w:uiPriority w:val="21"/>
    <w:qFormat/>
    <w:rsid w:val="0027634F"/>
    <w:rPr>
      <w:i/>
      <w:iCs/>
      <w:color w:val="2F5496" w:themeColor="accent1" w:themeShade="BF"/>
    </w:rPr>
  </w:style>
  <w:style w:type="paragraph" w:styleId="IntenseQuote">
    <w:name w:val="Intense Quote"/>
    <w:basedOn w:val="Normal"/>
    <w:next w:val="Normal"/>
    <w:link w:val="IntenseQuoteChar"/>
    <w:uiPriority w:val="30"/>
    <w:qFormat/>
    <w:rsid w:val="002763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34F"/>
    <w:rPr>
      <w:i/>
      <w:iCs/>
      <w:color w:val="2F5496" w:themeColor="accent1" w:themeShade="BF"/>
    </w:rPr>
  </w:style>
  <w:style w:type="character" w:styleId="IntenseReference">
    <w:name w:val="Intense Reference"/>
    <w:basedOn w:val="DefaultParagraphFont"/>
    <w:uiPriority w:val="32"/>
    <w:qFormat/>
    <w:rsid w:val="0027634F"/>
    <w:rPr>
      <w:b/>
      <w:bCs/>
      <w:smallCaps/>
      <w:color w:val="2F5496" w:themeColor="accent1" w:themeShade="BF"/>
      <w:spacing w:val="5"/>
    </w:rPr>
  </w:style>
  <w:style w:type="character" w:customStyle="1" w:styleId="s1">
    <w:name w:val="s1"/>
    <w:basedOn w:val="DefaultParagraphFont"/>
    <w:rsid w:val="0027634F"/>
  </w:style>
  <w:style w:type="paragraph" w:customStyle="1" w:styleId="p2">
    <w:name w:val="p2"/>
    <w:basedOn w:val="Normal"/>
    <w:rsid w:val="0027634F"/>
    <w:rPr>
      <w:rFonts w:ascii="Times New Roman" w:eastAsia="Times New Roman" w:hAnsi="Times New Roman" w:cs="Times New Roman"/>
      <w:kern w:val="0"/>
      <w14:ligatures w14:val="none"/>
    </w:rPr>
  </w:style>
  <w:style w:type="character" w:customStyle="1" w:styleId="s2">
    <w:name w:val="s2"/>
    <w:basedOn w:val="DefaultParagraphFont"/>
    <w:rsid w:val="0027634F"/>
  </w:style>
  <w:style w:type="paragraph" w:customStyle="1" w:styleId="p1">
    <w:name w:val="p1"/>
    <w:basedOn w:val="Normal"/>
    <w:rsid w:val="0027634F"/>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27634F"/>
  </w:style>
  <w:style w:type="paragraph" w:customStyle="1" w:styleId="p3">
    <w:name w:val="p3"/>
    <w:basedOn w:val="Normal"/>
    <w:rsid w:val="0027634F"/>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2291</Words>
  <Characters>13060</Characters>
  <Application>Microsoft Office Word</Application>
  <DocSecurity>0</DocSecurity>
  <Lines>108</Lines>
  <Paragraphs>30</Paragraphs>
  <ScaleCrop>false</ScaleCrop>
  <Company/>
  <LinksUpToDate>false</LinksUpToDate>
  <CharactersWithSpaces>15321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Stewart</dc:creator>
  <cp:keywords/>
  <dc:description/>
  <cp:lastModifiedBy>Joseph Stewart</cp:lastModifiedBy>
  <cp:revision>2</cp:revision>
  <dcterms:created xsi:type="dcterms:W3CDTF">2026-04-22T01:43:00Z</dcterms:created>
  <dcterms:modified xsi:type="dcterms:W3CDTF">2026-04-22T01:43:00Z</dcterms:modified>
</cp:coreProperties>
</file>