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</w:pPr>
      <w:r>
        <w:rPr>
          <w:rFonts w:ascii="Arial" w:hAnsi="Arial"/>
          <w:b w:val="0"/>
          <w:color w:val="536678"/>
          <w:sz w:val="20"/>
        </w:rPr>
        <w:t>April 2026</w:t>
      </w:r>
    </w:p>
    <w:p>
      <w:pPr>
        <w:spacing w:after="80" w:line="259" w:lineRule="auto"/>
        <w:jc w:val="center"/>
      </w:pPr>
      <w:r>
        <w:rPr>
          <w:rFonts w:ascii="Arial" w:hAnsi="Arial"/>
          <w:b w:val="0"/>
          <w:color w:val="2F7D32"/>
          <w:sz w:val="46"/>
        </w:rPr>
        <w:t>Adrabetadex Provider Net Cost Calculator Concept Brief</w:t>
      </w:r>
    </w:p>
    <w:p>
      <w:pPr>
        <w:spacing w:after="40" w:line="259" w:lineRule="auto"/>
        <w:jc w:val="center"/>
      </w:pPr>
      <w:r>
        <w:rPr>
          <w:rFonts w:ascii="Arial" w:hAnsi="Arial"/>
          <w:b/>
          <w:color w:val="1C2D3A"/>
          <w:sz w:val="22"/>
        </w:rPr>
        <w:t>Prepared for the Beren Therapeutics Launch Team</w:t>
      </w:r>
    </w:p>
    <w:p>
      <w:pPr>
        <w:spacing w:after="20" w:line="259" w:lineRule="auto"/>
        <w:jc w:val="center"/>
      </w:pPr>
      <w:r>
        <w:rPr>
          <w:rFonts w:ascii="Arial" w:hAnsi="Arial"/>
          <w:b w:val="0"/>
          <w:color w:val="536678"/>
          <w:sz w:val="19"/>
        </w:rPr>
        <w:t>Audience: Internal medical, commercial, market access, reimbursement, and finance stakeholders</w:t>
      </w:r>
    </w:p>
    <w:p>
      <w:pPr>
        <w:spacing w:after="200" w:line="259" w:lineRule="auto"/>
        <w:jc w:val="center"/>
      </w:pPr>
      <w:r>
        <w:rPr>
          <w:rFonts w:ascii="Arial" w:hAnsi="Arial"/>
          <w:b w:val="0"/>
          <w:color w:val="536678"/>
          <w:sz w:val="19"/>
        </w:rPr>
        <w:t>Date: April 2026</w:t>
      </w: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1. Opening Position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The Adrabetadex Provider Net Cost Calculator helps Beren evaluate whether treatment centers can administer Adrabetadex under real-world reimbursement conditions.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Adrabetadex may have a compelling clinical profile, but provider adoption will still depend on whether centers can acquire the drug, administer it, bill correctly, receive payment, and remain financially whole.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The calculator translates payer rules, site-of-care requirements, channel decisions, coding status, and manufacturer support into a clear provider-level financial result.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552"/>
      </w:tblGrid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Provider Question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Who buys the drug?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Determines whether the provider carries inventory and cash-flow risk.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Who bills for the drug?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Determines whether the provider can recover drug cost or only bill for administration.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What does the provider pay?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Acquisition cost may differ from WAC depending on 340B status, discounting, or channel.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What does the payer reimburse?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Expected payment under Medicare, Medicaid, commercial, or contracted scenarios.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How long does payment take?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Estimated days to payment and working-capital exposure.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What if the claim is denied?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Denial exposure, appeal recovery, and rework burden.</w:t>
            </w:r>
          </w:p>
        </w:tc>
      </w:tr>
      <w:tr>
        <w:tc>
          <w:tcPr>
            <w:tcW w:type="dxa" w:w="324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What closes the gap?</w:t>
            </w:r>
          </w:p>
        </w:tc>
        <w:tc>
          <w:tcPr>
            <w:tcW w:type="dxa" w:w="65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The support needed to make a thin or negative scenario financially workable.</w:t>
            </w:r>
          </w:p>
        </w:tc>
      </w:tr>
    </w:tbl>
    <w:p>
      <w:pPr>
        <w:spacing w:after="60"/>
      </w:pPr>
    </w:p>
    <w:p>
      <w:pPr>
        <w:keepNext/>
        <w:spacing w:before="100" w:after="80"/>
      </w:pPr>
      <w:r>
        <w:rPr>
          <w:rFonts w:ascii="Arial" w:hAnsi="Arial"/>
          <w:b w:val="0"/>
          <w:color w:val="2F7D32"/>
          <w:sz w:val="24"/>
        </w:rPr>
        <w:t>Aetna Example for Non-Technical Readers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EAF5F2"/>
            <w:tcBorders>
              <w:top w:val="single" w:sz="8" w:space="0" w:color="0B7D6D"/>
              <w:left w:val="single" w:sz="8" w:space="0" w:color="0B7D6D"/>
              <w:bottom w:val="single" w:sz="8" w:space="0" w:color="0B7D6D"/>
              <w:right w:val="single" w:sz="8" w:space="0" w:color="0B7D6D"/>
              <w:insideH w:val="single" w:sz="8" w:space="0" w:color="0B7D6D"/>
              <w:insideV w:val="single" w:sz="8" w:space="0" w:color="0B7D6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8"/>
              </w:rPr>
              <w:t>Aetna's policy for Brineura, a rare-disease therapy administered into the central nervous system, shows why a calculator like this is necessary. The policy does not simply ask whether the product is clinically appropriate. It requires precertification, diagnosis by or in consultation with a specialist in metabolic disease or lysosomal storage disorders, confirmed diagnosis by enzyme assay or genetic testing, and administration by or under a physician knowledgeable in intraventricular administration. It also ties reimbursement to covered coding, including applicable HCPCS and procedure codes where criteria are met.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8"/>
              </w:rPr>
              <w:t>The practical point is simple: for provider-administered rare-disease therapies, payer rules, specialist requirements, coding, and site capability affect whether the claim can be paid. The calculator must capture those mechanics, not just product price.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8"/>
              </w:rPr>
              <w:t>Source note: Aetna Clinical Policy Bulletin 0442, Lysosomal Storage Disorder Treatments.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2. Core Thesis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The calculator converts payer rules, site-of-care dynamics, and channel mechanics into treatment-center economics.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EAF3E5"/>
            <w:tcBorders>
              <w:top w:val="single" w:sz="8" w:space="0" w:color="2F7D32"/>
              <w:left w:val="single" w:sz="8" w:space="0" w:color="2F7D32"/>
              <w:bottom w:val="single" w:sz="8" w:space="0" w:color="2F7D32"/>
              <w:right w:val="single" w:sz="8" w:space="0" w:color="2F7D32"/>
              <w:insideH w:val="single" w:sz="8" w:space="0" w:color="2F7D32"/>
              <w:insideV w:val="single" w:sz="8" w:space="0" w:color="2F7D3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20"/>
              </w:rPr>
              <w:t>It is not a list-price model. It is not a manufacturer gross-to-net model. It is not a clinical value model.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20"/>
              </w:rPr>
              <w:t>In plain English, WAC helps size the starting exposure. It does not show what the provider pays, gets reimbursed, or carries while waiting for payment.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It is a provider-facing reimbursement execution model that estimates: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Model Output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 for a Non-Technical Audience</w:t>
            </w:r>
          </w:p>
        </w:tc>
      </w:tr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Expected reimbursement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What the provider expects to be paid.</w:t>
            </w:r>
          </w:p>
        </w:tc>
      </w:tr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Inventory at risk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How much drug cost the provider is carrying before payment.</w:t>
            </w:r>
          </w:p>
        </w:tc>
      </w:tr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Time to cash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How long the provider waits to be paid.</w:t>
            </w:r>
          </w:p>
        </w:tc>
      </w:tr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Denial exposure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How much money is at risk if the claim is denied or delayed.</w:t>
            </w:r>
          </w:p>
        </w:tc>
      </w:tr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Administration economics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Whether the provider is paid enough for the work of giving the drug.</w:t>
            </w:r>
          </w:p>
        </w:tc>
      </w:tr>
      <w:tr>
        <w:tc>
          <w:tcPr>
            <w:tcW w:type="dxa" w:w="30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Break-even support</w:t>
            </w:r>
          </w:p>
        </w:tc>
        <w:tc>
          <w:tcPr>
            <w:tcW w:type="dxa" w:w="669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The support needed so the provider does not lose money.</w:t>
            </w: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3. Why the Calculator Is Needed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A provider can believe in the clinical value of a therapy and still hesitate to administer it if the financial pathway is unclear.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For Adrabetadex, the calculator is needed because several reimbursement issues can change whether the provider is financially whole.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88"/>
        <w:gridCol w:w="3528"/>
      </w:tblGrid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Launch Friction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Simple Explanation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Buy-and-bill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The provider buys the drug, gives it, bills the payer, and waits for payment.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Creates inventory and cash-flow risk.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White-bagging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A specialty pharmacy sends the drug to the provider for administration.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Reduces provider inventory risk but removes drug margin.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340B acquisition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Eligible hospitals may acquire the drug at a lower price.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Can make hospital economics stronger than non-340B settings.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Medicaid claim integrity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Medicaid may require correct NDC, coding, and state-specific billing details.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Coverage can exist while payment still fails.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HCPCS timing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Product-specific billing codes may not be available at launch.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Interim coding can create claim uncertainty.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Hospital contracting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Hospitals may need contracting clarity before they stock or administer the drug.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Internal hospital economics can shape adoption.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PBM / specialty pharmacy rules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Payers may require use of a specific specialty pharmacy.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Determines whether the provider can buy-and-bill.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Manufacturer support</w:t>
            </w:r>
          </w:p>
        </w:tc>
        <w:tc>
          <w:tcPr>
            <w:tcW w:type="dxa" w:w="388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Support may be needed to keep the provider whole.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the minimum support needed to close the provider gap.</w:t>
            </w: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4. How the Calculator Works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The calculator uses a simple product and payment flow.</w:t>
      </w:r>
    </w:p>
    <w:tbl>
      <w:tblPr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2F7D3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Buy-and-Bill Pathway</w:t>
            </w:r>
          </w:p>
        </w:tc>
        <w:tc>
          <w:tcPr>
            <w:tcW w:type="dxa" w:w="482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2F7D32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White-Bagging Pathway</w:t>
            </w:r>
          </w:p>
        </w:tc>
      </w:tr>
      <w:tr>
        <w:tc>
          <w:tcPr>
            <w:tcW w:type="dxa" w:w="482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7"/>
              </w:rPr>
              <w:t>Manufacturer</w:t>
              <w:br/>
              <w:t>-&gt; Hospital / COE / Provider</w:t>
              <w:br/>
              <w:t>-&gt; Provider acquires drug</w:t>
              <w:br/>
              <w:t>-&gt; Provider administers drug</w:t>
              <w:br/>
              <w:t>-&gt; Provider bills payer</w:t>
              <w:br/>
              <w:t>-&gt; Provider waits for payment</w:t>
              <w:br/>
              <w:t>-&gt; Provider net recovery or shortfall</w:t>
            </w:r>
          </w:p>
        </w:tc>
        <w:tc>
          <w:tcPr>
            <w:tcW w:type="dxa" w:w="482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7"/>
              </w:rPr>
              <w:t>Manufacturer</w:t>
              <w:br/>
              <w:t>-&gt; Specialty pharmacy</w:t>
              <w:br/>
              <w:t>-&gt; Specialty pharmacy supplies drug</w:t>
              <w:br/>
              <w:t>-&gt; Provider administers only</w:t>
              <w:br/>
              <w:t>-&gt; Provider bills administration</w:t>
              <w:br/>
              <w:t>-&gt; Provider administration economics only</w:t>
            </w:r>
          </w:p>
        </w:tc>
      </w:tr>
    </w:tbl>
    <w:p>
      <w:pPr>
        <w:spacing w:after="60"/>
      </w:pP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The calculator applies one formula across all scenarios: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EAF3E5"/>
            <w:tcBorders>
              <w:top w:val="single" w:sz="8" w:space="0" w:color="2F7D32"/>
              <w:left w:val="single" w:sz="8" w:space="0" w:color="2F7D32"/>
              <w:bottom w:val="single" w:sz="8" w:space="0" w:color="2F7D32"/>
              <w:right w:val="single" w:sz="8" w:space="0" w:color="2F7D32"/>
              <w:insideH w:val="single" w:sz="8" w:space="0" w:color="2F7D32"/>
              <w:insideV w:val="single" w:sz="8" w:space="0" w:color="2F7D3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9"/>
              </w:rPr>
              <w:t>Provider net position = drug reimbursement + administration revenue + provider-facing support - drug acquisition cost - labor and pharmacy handling - billing and denial rework - financing cost from delayed payment</w:t>
            </w:r>
          </w:p>
        </w:tc>
      </w:tr>
    </w:tbl>
    <w:p>
      <w:pPr>
        <w:spacing w:after="40"/>
      </w:pP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744"/>
        <w:gridCol w:w="3528"/>
      </w:tblGrid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What the Calculator Does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Plain-English Output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1. Starts with gross drug exposure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Uses WAC and dosing frequency.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How large the drug cost is.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2. Applies acquisition basis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Uses WAC, 340B, discount, rebate, or white-bagging.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What the provider actually has at risk.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3. Applies reimbursement basis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Uses payer, Medicare, Medicaid, contract, or manual payment input.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What the provider expects to be paid.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4. Adds administration costs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Adds labor, pharmacy handling, billing, overhead, and related costs.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What it costs to provide the service.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5. Adds claim friction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Adds denial risk, appeal recovery, rework, and days to payment.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How payment delays or denials affect the provider.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6. Tests support levels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Adds provider-facing support where needed.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The support needed to avoid a provider loss.</w:t>
            </w:r>
          </w:p>
        </w:tc>
      </w:tr>
      <w:tr>
        <w:tc>
          <w:tcPr>
            <w:tcW w:type="dxa" w:w="2520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7. Produces a result</w:t>
            </w:r>
          </w:p>
        </w:tc>
        <w:tc>
          <w:tcPr>
            <w:tcW w:type="dxa" w:w="374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Calculates net recovery or shortfall.</w:t>
            </w:r>
          </w:p>
        </w:tc>
        <w:tc>
          <w:tcPr>
            <w:tcW w:type="dxa" w:w="3528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Workable, thin, negative, or site-specific.</w:t>
            </w: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5. What the Calculator Will Show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The calculator should make the economics visible to people who do not normally think in reimbursement terms.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951"/>
        <w:gridCol w:w="3384"/>
        <w:gridCol w:w="3456"/>
      </w:tblGrid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Calculator Output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Why the Audience Should Care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Can the provider afford to start treatment?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Inventory exposure and expected reimbursement.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whether a site may hesitate to stock or administer.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Does reimbursement cover drug cost?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Drug spread before operating cost.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whether payment covers acquisition.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Does the provider remain whole after all costs?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Net recovery after labor, handling, denial, and timing costs.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the true provider result.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Which sites are most viable?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COE, HOPD, physician office, Medicaid, and white-bagging comparison.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Helps prioritize launch sites.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Which payer rules create risk?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Prior authorization, specialist, coding, sourcing, and payment flags.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where payer friction affects uptake.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What support closes the gap?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Break-even manufacturer support.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what action is needed to make a scenario workable.</w:t>
            </w:r>
          </w:p>
        </w:tc>
      </w:tr>
      <w:tr>
        <w:tc>
          <w:tcPr>
            <w:tcW w:type="dxa" w:w="2952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How does a comparator perform?</w:t>
            </w:r>
          </w:p>
        </w:tc>
        <w:tc>
          <w:tcPr>
            <w:tcW w:type="dxa" w:w="3384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Same economics applied to a relevant therapy.</w:t>
            </w:r>
          </w:p>
        </w:tc>
        <w:tc>
          <w:tcPr>
            <w:tcW w:type="dxa" w:w="345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5"/>
              </w:rPr>
              <w:t>Shows whether Adrabetadex is better, worse, or similar under real reimbursement conditions.</w:t>
            </w:r>
          </w:p>
        </w:tc>
      </w:tr>
    </w:tbl>
    <w:p>
      <w:pPr>
        <w:spacing w:after="60"/>
      </w:pP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Client-Facing Close</w:t>
      </w:r>
    </w:p>
    <w:tbl>
      <w:tblPr>
        <w:tblW w:type="dxa" w:w="9432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32"/>
            <w:shd w:fill="EAF5F2"/>
            <w:tcBorders>
              <w:top w:val="single" w:sz="8" w:space="0" w:color="0B7D6D"/>
              <w:left w:val="single" w:sz="8" w:space="0" w:color="0B7D6D"/>
              <w:bottom w:val="single" w:sz="8" w:space="0" w:color="0B7D6D"/>
              <w:right w:val="single" w:sz="8" w:space="0" w:color="0B7D6D"/>
              <w:insideH w:val="single" w:sz="8" w:space="0" w:color="0B7D6D"/>
              <w:insideV w:val="single" w:sz="8" w:space="0" w:color="0B7D6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9"/>
              </w:rPr>
              <w:t>The purpose of the calculator is to make provider economics understandable.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9"/>
              </w:rPr>
              <w:t>Adrabetadex may be clinically compelling, but launch success still depends on whether treatment centers can buy the drug, administer it, bill correctly, get paid, and avoid carrying unacceptable financial risk.</w:t>
            </w:r>
          </w:p>
          <w:p>
            <w:pPr>
              <w:spacing w:after="80"/>
            </w:pPr>
            <w:r>
              <w:rPr>
                <w:rFonts w:ascii="Arial" w:hAnsi="Arial"/>
                <w:b w:val="0"/>
                <w:color w:val="1C2D3A"/>
                <w:sz w:val="19"/>
              </w:rPr>
              <w:t>The calculator shows where the economics work, where they are thin, where they fail, and what action is needed to improve the provider pathway.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Arial" w:hAnsi="Arial"/>
          <w:b w:val="0"/>
          <w:color w:val="0B7D6D"/>
          <w:sz w:val="30"/>
        </w:rPr>
        <w:t>Source Notes</w:t>
      </w:r>
    </w:p>
    <w:p>
      <w:pPr>
        <w:spacing w:after="100" w:line="259" w:lineRule="auto"/>
      </w:pPr>
      <w:r>
        <w:rPr>
          <w:rFonts w:ascii="Arial" w:hAnsi="Arial"/>
          <w:b w:val="0"/>
          <w:color w:val="1C2D3A"/>
          <w:sz w:val="21"/>
        </w:rPr>
        <w:t>Source notes are included to support the model framing without overloading the brief with technical citations.</w:t>
      </w:r>
    </w:p>
    <w:tbl>
      <w:tblPr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5976"/>
      </w:tblGrid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Source Category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0B7D6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Beren internal Adrabetadex assumptions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Supports WAC, dosing, and working model assumptions.</w:t>
            </w:r>
          </w:p>
        </w:tc>
      </w:tr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Aetna CPB 0442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Supports payer-rule example for rare-disease CNS-administered therapy.</w:t>
            </w:r>
          </w:p>
        </w:tc>
      </w:tr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CMS Part B payment limit / initial-period WAC rule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Supports initial reimbursement benchmark concept.</w:t>
            </w:r>
          </w:p>
        </w:tc>
      </w:tr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CMS HCPCS Level II process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Supports product-specific coding timing.</w:t>
            </w:r>
          </w:p>
        </w:tc>
      </w:tr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HRSA 340B ceiling price / new drug estimation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Supports 340B acquisition scenario logic.</w:t>
            </w:r>
          </w:p>
        </w:tc>
      </w:tr>
      <w:tr>
        <w:tc>
          <w:tcPr>
            <w:tcW w:type="dxa" w:w="381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Medicaid PAD / EPSDT resources</w:t>
            </w:r>
          </w:p>
        </w:tc>
        <w:tc>
          <w:tcPr>
            <w:tcW w:type="dxa" w:w="5976"/>
            <w:vAlign w:val="center"/>
            <w:tcBorders>
              <w:top w:val="single" w:sz="4" w:space="0" w:color="B8C9D4"/>
              <w:left w:val="single" w:sz="4" w:space="0" w:color="B8C9D4"/>
              <w:bottom w:val="single" w:sz="4" w:space="0" w:color="B8C9D4"/>
              <w:right w:val="single" w:sz="4" w:space="0" w:color="B8C9D4"/>
              <w:insideH w:val="single" w:sz="4" w:space="0" w:color="B8C9D4"/>
              <w:insideV w:val="single" w:sz="4" w:space="0" w:color="B8C9D4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EEF4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2D3A"/>
                <w:sz w:val="16"/>
              </w:rPr>
              <w:t>Supports Medicaid claim-integrity and pediatric coverage framing.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008" w:bottom="1008" w:left="1008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rFonts w:ascii="Arial" w:hAnsi="Arial"/>
        <w:b w:val="0"/>
        <w:color w:val="536678"/>
        <w:sz w:val="16"/>
      </w:rPr>
      <w:t>An NPG Health Company</w:t>
    </w:r>
  </w:p>
  <w:p>
    <w:pPr>
      <w:spacing w:after="0"/>
      <w:jc w:val="right"/>
    </w:pPr>
    <w:r>
      <w:rPr>
        <w:rFonts w:ascii="Arial" w:hAnsi="Arial"/>
        <w:b w:val="0"/>
        <w:color w:val="536678"/>
        <w:sz w:val="17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/>
        <w:b w:val="0"/>
        <w:color w:val="536678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60"/>
    </w:pPr>
    <w:r>
      <w:rPr>
        <w:rFonts w:ascii="Arial" w:hAnsi="Arial"/>
        <w:b/>
        <w:color w:val="2F7D32"/>
        <w:sz w:val="36"/>
      </w:rPr>
      <w:t>NAVISYNC</w:t>
    </w:r>
    <w:r>
      <w:rPr>
        <w:rFonts w:ascii="Arial" w:hAnsi="Arial"/>
        <w:b w:val="0"/>
        <w:color w:val="536678"/>
        <w:sz w:val="15"/>
      </w:rPr>
      <w:t xml:space="preserve">  A Managed Markets Agency | Payers. Providers. Patients.</w:t>
    </w:r>
  </w:p>
  <w:p>
    <w:pPr>
      <w:spacing w:after="40"/>
      <w:pBdr>
        <w:bottom w:val="single" w:sz="8" w:space="1" w:color="0B7D6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