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Adrabetadex Provider Net Cost Recovery Calculator</w:t>
      </w:r>
    </w:p>
    <w:p>
      <w:r>
        <w:rPr>
          <w:b w:val="0"/>
          <w:sz w:val="18"/>
        </w:rPr>
        <w:t>Client Concept Review Brief for Beren MLR | Prepared for concept review</w:t>
      </w:r>
    </w:p>
    <w:p>
      <w:r>
        <w:rPr>
          <w:b w:val="0"/>
          <w:sz w:val="16"/>
        </w:rPr>
        <w:t>Bottom line: Beren needs the calculator because Adrabetadex will enter a provider environment where acquisition cost, reimbursement benchmark, site of care, timing, and coding status can each change the provider economic result. A static WAC story does not answer whether the provider is financially whole.</w:t>
      </w:r>
    </w:p>
    <w:p>
      <w:r>
        <w:rPr>
          <w:b/>
          <w:sz w:val="22"/>
        </w:rPr>
        <w:t>Review 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b/>
                <w:sz w:val="15"/>
              </w:rPr>
              <w:t>Item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b/>
                <w:sz w:val="15"/>
              </w:rPr>
              <w:t>Review-Ready Framing</w:t>
            </w:r>
          </w:p>
        </w:tc>
      </w:tr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Purpose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Explain why Beren needs a provider net cost recovery calculator before launch discussions move into field, ARM, and provider-facing settings.</w:t>
            </w:r>
          </w:p>
        </w:tc>
      </w:tr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Core problem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Gross WAC, provider acquisition cost, ASP/payment benchmark, allowed reimbursement, and provider margin are different numbers. Treating them as the same creates reimbursement-readiness risk.</w:t>
            </w:r>
          </w:p>
        </w:tc>
      </w:tr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Comparator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Spinraza (nusinersen), used as the closest relevant intrathecal rare-disease analogue for WAC-vs-ASP/payment-limit framing, not clinical equivalence.</w:t>
            </w:r>
          </w:p>
        </w:tc>
      </w:tr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MLR posture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Scenario tool for education and planning. Not a guarantee of coverage, payment, acquisition discount, provider margin, or payer behavior.</w:t>
            </w:r>
          </w:p>
        </w:tc>
      </w:tr>
    </w:tbl>
    <w:p>
      <w:r>
        <w:rPr>
          <w:b/>
          <w:sz w:val="22"/>
        </w:rPr>
        <w:t>Why This Calculator Is Needed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b/>
                <w:sz w:val="15"/>
              </w:rPr>
              <w:t>Client Need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b/>
                <w:sz w:val="15"/>
              </w:rPr>
              <w:t>Why It Matters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b/>
                <w:sz w:val="15"/>
              </w:rPr>
              <w:t>Calculator Answer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Explain economics beyond WAC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Reviewers and providers may treat list price as the full economic story.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Gap between WAC, net acquisition cost, allowed reimbursement, and provider recovery.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Prepare for provider financial questions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High-cost intrathecal products can create working-capital and payment concerns.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Whether drug cost is recovered after operating cost, denial drag, and payment timing.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Show why 340B status matters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Target COEs may have acquisition economics that differ from WAC.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How the provider result changes when acquisition cost moves below WAC.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Support ARM/account planning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Field teams need a consistent reimbursement discussion without overclaiming.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Which scenarios are workable, thin, or negative under stated assumptions.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Frame the intrathecal comparator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Spinraza shows that WAC alone does not answer provider economics.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How WAC compares with ASP/payment-limit visibility and why assumptions still matter.</w:t>
            </w:r>
          </w:p>
        </w:tc>
      </w:tr>
    </w:tbl>
    <w:p>
      <w:r>
        <w:rPr>
          <w:b/>
          <w:sz w:val="22"/>
        </w:rPr>
        <w:t>What the Calculator 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b/>
                <w:sz w:val="15"/>
              </w:rPr>
              <w:t>Calculator Element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b/>
                <w:sz w:val="15"/>
              </w:rPr>
              <w:t>What It Does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b/>
                <w:sz w:val="15"/>
              </w:rPr>
              <w:t>Provider-Relevant Output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Acquisition-cost module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Compares WAC acquisition with modeled net acquisition scenarios.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Per-administration acquisition cost and annual exposure.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Reimbursement module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Applies payer/site-specific payment assumptions and WAC-based launch benchmarks where applicable.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Allowed reimbursement and drug spread.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Operating-cost module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Adds labor, pharmacy handling, billing/admin, wastage, denial drag, and financing drag.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Difference between drug spread and true provider recovery.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Scenario module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Compares 340B COE/HOPD, non-340B HOPD, buy-and-bill, white-bagging, and Medicaid pathways.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Scenario-specific surplus, shortfall, or risk flag.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Comparator module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Places Adrabetadex next to Spinraza as an intrathecal analogue.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Separation between WAC, ASP/payment-limit status, net acquisition, and recovery.</w:t>
            </w:r>
          </w:p>
        </w:tc>
      </w:tr>
    </w:tbl>
    <w:p>
      <w:r>
        <w:br w:type="page"/>
      </w:r>
    </w:p>
    <w:p>
      <w:r>
        <w:rPr>
          <w:b/>
          <w:sz w:val="22"/>
        </w:rPr>
        <w:t>Adrabetadex Economics: Why WAC Is Not Enough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  <w:vAlign w:val="top"/>
          </w:tcPr>
          <w:p>
            <w:r>
              <w:rPr>
                <w:rFonts w:ascii="Aptos" w:hAnsi="Aptos"/>
                <w:b/>
                <w:sz w:val="15"/>
              </w:rPr>
              <w:t>Scenario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b/>
                <w:sz w:val="15"/>
              </w:rPr>
              <w:t>WAC / Admin.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b/>
                <w:sz w:val="15"/>
              </w:rPr>
              <w:t>Modeled Acquisition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b/>
                <w:sz w:val="15"/>
              </w:rPr>
              <w:t>Allowed Reimb.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b/>
                <w:sz w:val="15"/>
              </w:rPr>
              <w:t>Drug Spread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b/>
                <w:sz w:val="15"/>
              </w:rPr>
              <w:t>Operating + Timing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b/>
                <w:sz w:val="15"/>
              </w:rPr>
              <w:t>Net Recovery / Admin.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b/>
                <w:sz w:val="15"/>
              </w:rPr>
              <w:t>Annualized Net</w:t>
            </w:r>
          </w:p>
        </w:tc>
      </w:tr>
      <w:tr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340B COE / HOPD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$39,000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$29,991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$40,170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$10,179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$3,144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$7,535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$195,917</w:t>
            </w:r>
          </w:p>
        </w:tc>
      </w:tr>
      <w:tr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Non-340B HOPD / WAC acquisition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$39,000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$39,000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$40,170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$1,170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$3,562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($1,892)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($49,194)</w:t>
            </w:r>
          </w:p>
        </w:tc>
      </w:tr>
      <w:tr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Commercial white-bagging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$39,000 gross reference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$0 provider drug acquisition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$0 provider drug reimbursement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$0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Administration workflow only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Site-specific</w:t>
            </w:r>
          </w:p>
        </w:tc>
        <w:tc>
          <w:tcPr>
            <w:tcW w:type="dxa" w:w="1818"/>
            <w:vAlign w:val="top"/>
          </w:tcPr>
          <w:p>
            <w:r>
              <w:rPr>
                <w:rFonts w:ascii="Aptos" w:hAnsi="Aptos"/>
                <w:sz w:val="14"/>
              </w:rPr>
              <w:t>Site-specific</w:t>
            </w:r>
          </w:p>
        </w:tc>
      </w:tr>
    </w:tbl>
    <w:p>
      <w:r>
        <w:rPr>
          <w:b/>
          <w:sz w:val="22"/>
        </w:rPr>
        <w:t>Spinraza Comparator: WAC vs ASP / Payment-Limit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b/>
                <w:sz w:val="15"/>
              </w:rPr>
              <w:t>Comparator Layer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b/>
                <w:sz w:val="15"/>
              </w:rPr>
              <w:t>Spinraza Public Reference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b/>
                <w:sz w:val="15"/>
              </w:rPr>
              <w:t>Implication for Adrabetadex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Relevant analogue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Intrathecal nusinersen, HCPCS J2326, 0.1 mg billing unit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Closest relevant intrathecal rare-disease analogue for provider-economics framing.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Public WAC benchmark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$125,000 per vial / dose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WAC can be visible and large, but it is not the provider economics result.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Billing-unit structure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J2326 = 0.1 mg; 120 billing units per 12 mg vial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Dose-level price must be translated into billing units before payment logic can be evaluated.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Implied WAC per HCPCS unit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$1,041.67 per 0.1 mg unit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Claim and payment files operate at HCPCS-unit level.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CMS Q2 2026 ASP/payment-limit status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No J2326 payment limit identified in the April 2026 CMS Medicare Part B Payment Limit File reviewed for this brief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Even an established intrathecal product may not provide a simple public WAC-to-ASP answer.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BuyandBill Q2 2026 ASP display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ASP listed as "Not Available" for Spinraza J2326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Separates WAC, ASP/payment-limit visibility, payer payment, and provider acquisition cost.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First-year gross WAC exposure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$750,000 using six first-year doses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Exposure depends on both dose price and dosing cadence.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Maintenance-year gross WAC exposure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$375,000 using three annual maintenance doses</w:t>
            </w:r>
          </w:p>
        </w:tc>
        <w:tc>
          <w:tcPr>
            <w:tcW w:type="dxa" w:w="4848"/>
            <w:vAlign w:val="top"/>
          </w:tcPr>
          <w:p>
            <w:r>
              <w:rPr>
                <w:rFonts w:ascii="Aptos" w:hAnsi="Aptos"/>
                <w:sz w:val="14"/>
              </w:rPr>
              <w:t>Annual exposure changes over time; a static price point is not enough.</w:t>
            </w:r>
          </w:p>
        </w:tc>
      </w:tr>
    </w:tbl>
    <w:p>
      <w:r>
        <w:rPr>
          <w:b/>
          <w:sz w:val="22"/>
        </w:rPr>
        <w:t>Client-Ready Message 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b/>
                <w:sz w:val="15"/>
              </w:rPr>
              <w:t>Message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b/>
                <w:sz w:val="15"/>
              </w:rPr>
              <w:t>Approved Direction</w:t>
            </w:r>
          </w:p>
        </w:tc>
      </w:tr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Why we need it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To show whether providers can recover acquisition cost and operating burden under realistic site, payer, coding, and timing scenarios.</w:t>
            </w:r>
          </w:p>
        </w:tc>
      </w:tr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What it is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A provider-economics and reimbursement-readiness tool for scenario planning.</w:t>
            </w:r>
          </w:p>
        </w:tc>
      </w:tr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What it is not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Not a clinical value model, coverage guarantee, payment guarantee, pricing recommendation, or claim that a provider receives a specific discount.</w:t>
            </w:r>
          </w:p>
        </w:tc>
      </w:tr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Why Spinraza matters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It shows that WAC, ASP/payment-limit visibility, billing units, and provider economics are separate questions.</w:t>
            </w:r>
          </w:p>
        </w:tc>
      </w:tr>
    </w:tbl>
    <w:p>
      <w:r>
        <w:rPr>
          <w:b/>
          <w:sz w:val="22"/>
        </w:rPr>
        <w:t>Source and Assumption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b/>
                <w:sz w:val="15"/>
              </w:rPr>
              <w:t>Source / Assumption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b/>
                <w:sz w:val="15"/>
              </w:rPr>
              <w:t>Treatment in This Brief</w:t>
            </w:r>
          </w:p>
        </w:tc>
      </w:tr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Adrabetadex assumptions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WAC, dosing, annual exposure, 340B proxy value, operating-cost inputs, denial rate, financing rate, and launch timing come from the project workbook and supplied planning assumptions.</w:t>
            </w:r>
          </w:p>
        </w:tc>
      </w:tr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Medicare initial sales period benchmark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42 CFR 414.904 allows payment during the initial period, when ASP is unavailable, at an amount not to exceed 103% of WAC.</w:t>
            </w:r>
          </w:p>
        </w:tc>
      </w:tr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CMS ASP/payment-limit file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CMS notes that presence or absence of a HCPCS code or payment limit does not indicate Medicare coverage. The April 2026 file reviewed did not identify a J2326 payment limit.</w:t>
            </w:r>
          </w:p>
        </w:tc>
      </w:tr>
      <w:tr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Spinraza comparator</w:t>
            </w:r>
          </w:p>
        </w:tc>
        <w:tc>
          <w:tcPr>
            <w:tcW w:type="dxa" w:w="7272"/>
            <w:vAlign w:val="top"/>
          </w:tcPr>
          <w:p>
            <w:r>
              <w:rPr>
                <w:rFonts w:ascii="Aptos" w:hAnsi="Aptos"/>
                <w:sz w:val="14"/>
              </w:rPr>
              <w:t>Spinraza PI confirms intrathecal administration and dosing cadence. Public WAC is used only to illustrate WAC-vs-payment visibility and gross exposure.</w:t>
            </w:r>
          </w:p>
        </w:tc>
      </w:tr>
    </w:tbl>
    <w:p>
      <w:r>
        <w:rPr>
          <w:b w:val="0"/>
          <w:sz w:val="14"/>
        </w:rPr>
        <w:t>Sources: 42 CFR 414.904; CMS ASP Pricing Files; BuyandBill Spinraza J2326; CMS Spinraza billing article A58579; Spinraza dosing and prescribing information; BioCentury WAC reporting.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