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ADRABETADEX Provider Net Cost Recovery Model</w:t>
      </w:r>
    </w:p>
    <w:p>
      <w:pPr>
        <w:pStyle w:val="Heading1"/>
      </w:pPr>
      <w:r>
        <w:t>Concept Review Brief</w:t>
      </w:r>
    </w:p>
    <w:p>
      <w:r>
        <w:t>Gross WAC does not show whether a treatment center is financially whole after acquisition cost, reimbursement, operating burden, claim friction, and payment timing.</w:t>
      </w:r>
    </w:p>
    <w:p>
      <w:pPr>
        <w:pStyle w:val="Heading1"/>
      </w:pPr>
      <w:r>
        <w:t>1. Why the Model Is Beneficial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Launch question</w:t>
            </w:r>
          </w:p>
        </w:tc>
        <w:tc>
          <w:tcPr>
            <w:tcW w:type="dxa" w:w="3552"/>
          </w:tcPr>
          <w:p>
            <w:r>
              <w:rPr>
                <w:b/>
              </w:rPr>
              <w:t>What the calculator makes visible</w:t>
            </w:r>
          </w:p>
        </w:tc>
        <w:tc>
          <w:tcPr>
            <w:tcW w:type="dxa" w:w="3552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3552"/>
          </w:tcPr>
          <w:p>
            <w:r>
              <w:t>Can a provider afford to start treatment?</w:t>
            </w:r>
          </w:p>
        </w:tc>
        <w:tc>
          <w:tcPr>
            <w:tcW w:type="dxa" w:w="3552"/>
          </w:tcPr>
          <w:p>
            <w:r>
              <w:t>Drug acquisition, reimbursement, and timing exposure by scenario</w:t>
            </w:r>
          </w:p>
        </w:tc>
        <w:tc>
          <w:tcPr>
            <w:tcW w:type="dxa" w:w="3552"/>
          </w:tcPr>
          <w:p>
            <w:r>
              <w:t>Identifies where uptake is workable, thin, or blocked</w:t>
            </w:r>
          </w:p>
        </w:tc>
      </w:tr>
      <w:tr>
        <w:tc>
          <w:tcPr>
            <w:tcW w:type="dxa" w:w="3552"/>
          </w:tcPr>
          <w:p>
            <w:r>
              <w:t>Does WAC overstate provider economics?</w:t>
            </w:r>
          </w:p>
        </w:tc>
        <w:tc>
          <w:tcPr>
            <w:tcW w:type="dxa" w:w="3552"/>
          </w:tcPr>
          <w:p>
            <w:r>
              <w:t>WAC, acquisition basis, reimbursement, and net recovery as separate layers</w:t>
            </w:r>
          </w:p>
        </w:tc>
        <w:tc>
          <w:tcPr>
            <w:tcW w:type="dxa" w:w="3552"/>
          </w:tcPr>
          <w:p>
            <w:r>
              <w:t>Prevents list price from being treated as provider margin</w:t>
            </w:r>
          </w:p>
        </w:tc>
      </w:tr>
      <w:tr>
        <w:tc>
          <w:tcPr>
            <w:tcW w:type="dxa" w:w="3552"/>
          </w:tcPr>
          <w:p>
            <w:r>
              <w:t>Which sites should be prioritized?</w:t>
            </w:r>
          </w:p>
        </w:tc>
        <w:tc>
          <w:tcPr>
            <w:tcW w:type="dxa" w:w="3552"/>
          </w:tcPr>
          <w:p>
            <w:r>
              <w:t>COE/HOPD, non-340B, office, Medicaid, and white-bagging pathways</w:t>
            </w:r>
          </w:p>
        </w:tc>
        <w:tc>
          <w:tcPr>
            <w:tcW w:type="dxa" w:w="3552"/>
          </w:tcPr>
          <w:p>
            <w:r>
              <w:t>Supports practical launch sequencing</w:t>
            </w:r>
          </w:p>
        </w:tc>
      </w:tr>
      <w:tr>
        <w:tc>
          <w:tcPr>
            <w:tcW w:type="dxa" w:w="3552"/>
          </w:tcPr>
          <w:p>
            <w:r>
              <w:t>What support changes the result?</w:t>
            </w:r>
          </w:p>
        </w:tc>
        <w:tc>
          <w:tcPr>
            <w:tcW w:type="dxa" w:w="3552"/>
          </w:tcPr>
          <w:p>
            <w:r>
              <w:t>Support required to move a negative case to neutral</w:t>
            </w:r>
          </w:p>
        </w:tc>
        <w:tc>
          <w:tcPr>
            <w:tcW w:type="dxa" w:w="3552"/>
          </w:tcPr>
          <w:p>
            <w:r>
              <w:t>Ties support design to a specific provider gap</w:t>
            </w:r>
          </w:p>
        </w:tc>
      </w:tr>
    </w:tbl>
    <w:p/>
    <w:p>
      <w:pPr>
        <w:pStyle w:val="Heading1"/>
      </w:pPr>
      <w:r>
        <w:t>2. Provider Economics Bridge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328"/>
          </w:tcPr>
          <w:p>
            <w:r>
              <w:rPr>
                <w:b/>
              </w:rPr>
              <w:t>Model output</w:t>
            </w:r>
          </w:p>
        </w:tc>
      </w:tr>
      <w:tr>
        <w:tc>
          <w:tcPr>
            <w:tcW w:type="dxa" w:w="5328"/>
          </w:tcPr>
          <w:p>
            <w:r>
              <w:t>Gross exposure</w:t>
            </w:r>
          </w:p>
        </w:tc>
        <w:tc>
          <w:tcPr>
            <w:tcW w:type="dxa" w:w="5328"/>
          </w:tcPr>
          <w:p>
            <w:r>
              <w:t>Per-dose and annual exposure, WAC x dosing cadence</w:t>
            </w:r>
          </w:p>
        </w:tc>
      </w:tr>
      <w:tr>
        <w:tc>
          <w:tcPr>
            <w:tcW w:type="dxa" w:w="5328"/>
          </w:tcPr>
          <w:p>
            <w:r>
              <w:t>Acquisition basis</w:t>
            </w:r>
          </w:p>
        </w:tc>
        <w:tc>
          <w:tcPr>
            <w:tcW w:type="dxa" w:w="5328"/>
          </w:tcPr>
          <w:p>
            <w:r>
              <w:t>Provider cost at risk, WAC, 340B proxy, support, or no provider acquisition</w:t>
            </w:r>
          </w:p>
        </w:tc>
      </w:tr>
      <w:tr>
        <w:tc>
          <w:tcPr>
            <w:tcW w:type="dxa" w:w="5328"/>
          </w:tcPr>
          <w:p>
            <w:r>
              <w:t>Reimbursement basis</w:t>
            </w:r>
          </w:p>
        </w:tc>
        <w:tc>
          <w:tcPr>
            <w:tcW w:type="dxa" w:w="5328"/>
          </w:tcPr>
          <w:p>
            <w:r>
              <w:t>Expected allowed payment, payer/site benchmark, contract, state method, or interim-code logic</w:t>
            </w:r>
          </w:p>
        </w:tc>
      </w:tr>
      <w:tr>
        <w:tc>
          <w:tcPr>
            <w:tcW w:type="dxa" w:w="5328"/>
          </w:tcPr>
          <w:p>
            <w:r>
              <w:t>Operating burden</w:t>
            </w:r>
          </w:p>
        </w:tc>
        <w:tc>
          <w:tcPr>
            <w:tcW w:type="dxa" w:w="5328"/>
          </w:tcPr>
          <w:p>
            <w:r>
              <w:t>Margin erosion, labor, handling, billing/admin, financing, denial rework</w:t>
            </w:r>
          </w:p>
        </w:tc>
      </w:tr>
      <w:tr>
        <w:tc>
          <w:tcPr>
            <w:tcW w:type="dxa" w:w="5328"/>
          </w:tcPr>
          <w:p>
            <w:r>
              <w:t>Net recovery</w:t>
            </w:r>
          </w:p>
        </w:tc>
        <w:tc>
          <w:tcPr>
            <w:tcW w:type="dxa" w:w="5328"/>
          </w:tcPr>
          <w:p>
            <w:r>
              <w:t>Workable, thin, negative, or state-dependent scenario signal</w:t>
            </w:r>
          </w:p>
        </w:tc>
      </w:tr>
    </w:tbl>
    <w:p/>
    <w:p>
      <w:pPr>
        <w:pStyle w:val="Heading1"/>
      </w:pPr>
      <w:r>
        <w:t>3. Scenario 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664"/>
          </w:tcPr>
          <w:p>
            <w:r>
              <w:rPr>
                <w:b/>
              </w:rPr>
              <w:t>Acquisition</w:t>
            </w:r>
          </w:p>
        </w:tc>
        <w:tc>
          <w:tcPr>
            <w:tcW w:type="dxa" w:w="2664"/>
          </w:tcPr>
          <w:p>
            <w:r>
              <w:rPr>
                <w:b/>
              </w:rPr>
              <w:t>Reimbursement basis</w:t>
            </w:r>
          </w:p>
        </w:tc>
        <w:tc>
          <w:tcPr>
            <w:tcW w:type="dxa" w:w="2664"/>
          </w:tcPr>
          <w:p>
            <w:r>
              <w:rPr>
                <w:b/>
              </w:rPr>
              <w:t>Draft signal</w:t>
            </w:r>
          </w:p>
        </w:tc>
      </w:tr>
      <w:tr>
        <w:tc>
          <w:tcPr>
            <w:tcW w:type="dxa" w:w="2664"/>
          </w:tcPr>
          <w:p>
            <w:r>
              <w:t>340B COE / HOPD</w:t>
            </w:r>
          </w:p>
        </w:tc>
        <w:tc>
          <w:tcPr>
            <w:tcW w:type="dxa" w:w="2664"/>
          </w:tcPr>
          <w:p>
            <w:r>
              <w:t>$29,991</w:t>
            </w:r>
          </w:p>
        </w:tc>
        <w:tc>
          <w:tcPr>
            <w:tcW w:type="dxa" w:w="2664"/>
          </w:tcPr>
          <w:p>
            <w:r>
              <w:t>$40,170 benchmark logic</w:t>
            </w:r>
          </w:p>
        </w:tc>
        <w:tc>
          <w:tcPr>
            <w:tcW w:type="dxa" w:w="2664"/>
          </w:tcPr>
          <w:p>
            <w:r>
              <w:t>Workable</w:t>
            </w:r>
          </w:p>
        </w:tc>
      </w:tr>
      <w:tr>
        <w:tc>
          <w:tcPr>
            <w:tcW w:type="dxa" w:w="2664"/>
          </w:tcPr>
          <w:p>
            <w:r>
              <w:t>Non-340B HOPD</w:t>
            </w:r>
          </w:p>
        </w:tc>
        <w:tc>
          <w:tcPr>
            <w:tcW w:type="dxa" w:w="2664"/>
          </w:tcPr>
          <w:p>
            <w:r>
              <w:t>$39,000</w:t>
            </w:r>
          </w:p>
        </w:tc>
        <w:tc>
          <w:tcPr>
            <w:tcW w:type="dxa" w:w="2664"/>
          </w:tcPr>
          <w:p>
            <w:r>
              <w:t>$40,170 benchmark logic</w:t>
            </w:r>
          </w:p>
        </w:tc>
        <w:tc>
          <w:tcPr>
            <w:tcW w:type="dxa" w:w="2664"/>
          </w:tcPr>
          <w:p>
            <w:r>
              <w:t>Thin to negative</w:t>
            </w:r>
          </w:p>
        </w:tc>
      </w:tr>
      <w:tr>
        <w:tc>
          <w:tcPr>
            <w:tcW w:type="dxa" w:w="2664"/>
          </w:tcPr>
          <w:p>
            <w:r>
              <w:t>Commercial buy-and-bill + 5% support</w:t>
            </w:r>
          </w:p>
        </w:tc>
        <w:tc>
          <w:tcPr>
            <w:tcW w:type="dxa" w:w="2664"/>
          </w:tcPr>
          <w:p>
            <w:r>
              <w:t>$37,050</w:t>
            </w:r>
          </w:p>
        </w:tc>
        <w:tc>
          <w:tcPr>
            <w:tcW w:type="dxa" w:w="2664"/>
          </w:tcPr>
          <w:p>
            <w:r>
              <w:t>Medical benchmark</w:t>
            </w:r>
          </w:p>
        </w:tc>
        <w:tc>
          <w:tcPr>
            <w:tcW w:type="dxa" w:w="2664"/>
          </w:tcPr>
          <w:p>
            <w:r>
              <w:t>Potentially neutral</w:t>
            </w:r>
          </w:p>
        </w:tc>
      </w:tr>
      <w:tr>
        <w:tc>
          <w:tcPr>
            <w:tcW w:type="dxa" w:w="2664"/>
          </w:tcPr>
          <w:p>
            <w:r>
              <w:t>Commercial buy-and-bill + 10% support</w:t>
            </w:r>
          </w:p>
        </w:tc>
        <w:tc>
          <w:tcPr>
            <w:tcW w:type="dxa" w:w="2664"/>
          </w:tcPr>
          <w:p>
            <w:r>
              <w:t>$35,100</w:t>
            </w:r>
          </w:p>
        </w:tc>
        <w:tc>
          <w:tcPr>
            <w:tcW w:type="dxa" w:w="2664"/>
          </w:tcPr>
          <w:p>
            <w:r>
              <w:t>Medical benchmark</w:t>
            </w:r>
          </w:p>
        </w:tc>
        <w:tc>
          <w:tcPr>
            <w:tcW w:type="dxa" w:w="2664"/>
          </w:tcPr>
          <w:p>
            <w:r>
              <w:t>More consistently neutral</w:t>
            </w:r>
          </w:p>
        </w:tc>
      </w:tr>
      <w:tr>
        <w:tc>
          <w:tcPr>
            <w:tcW w:type="dxa" w:w="2664"/>
          </w:tcPr>
          <w:p>
            <w:r>
              <w:t>Commercial white-bagging</w:t>
            </w:r>
          </w:p>
        </w:tc>
        <w:tc>
          <w:tcPr>
            <w:tcW w:type="dxa" w:w="2664"/>
          </w:tcPr>
          <w:p>
            <w:r>
              <w:t>$0 provider acquisition</w:t>
            </w:r>
          </w:p>
        </w:tc>
        <w:tc>
          <w:tcPr>
            <w:tcW w:type="dxa" w:w="2664"/>
          </w:tcPr>
          <w:p>
            <w:r>
              <w:t>Administration-only economics</w:t>
            </w:r>
          </w:p>
        </w:tc>
        <w:tc>
          <w:tcPr>
            <w:tcW w:type="dxa" w:w="2664"/>
          </w:tcPr>
          <w:p>
            <w:r>
              <w:t>No drug spread</w:t>
            </w:r>
          </w:p>
        </w:tc>
      </w:tr>
      <w:tr>
        <w:tc>
          <w:tcPr>
            <w:tcW w:type="dxa" w:w="2664"/>
          </w:tcPr>
          <w:p>
            <w:r>
              <w:t>Medicaid non-340B</w:t>
            </w:r>
          </w:p>
        </w:tc>
        <w:tc>
          <w:tcPr>
            <w:tcW w:type="dxa" w:w="2664"/>
          </w:tcPr>
          <w:p>
            <w:r>
              <w:t>State-specific</w:t>
            </w:r>
          </w:p>
        </w:tc>
        <w:tc>
          <w:tcPr>
            <w:tcW w:type="dxa" w:w="2664"/>
          </w:tcPr>
          <w:p>
            <w:r>
              <w:t>PAD or MCO logic</w:t>
            </w:r>
          </w:p>
        </w:tc>
        <w:tc>
          <w:tcPr>
            <w:tcW w:type="dxa" w:w="2664"/>
          </w:tcPr>
          <w:p>
            <w:r>
              <w:t>High variance</w:t>
            </w:r>
          </w:p>
        </w:tc>
      </w:tr>
    </w:tbl>
    <w:p/>
    <w:p>
      <w:pPr>
        <w:pStyle w:val="Heading1"/>
      </w:pPr>
      <w:r>
        <w:t>4. Comparator Use and Review Boundaries</w:t>
      </w:r>
    </w:p>
    <w:p>
      <w:r>
        <w:t>Comparator products are used to test reimbursement mechanics under the same scenario. They are not used to imply clinical equivalence.</w:t>
      </w:r>
    </w:p>
    <w:p>
      <w:pPr>
        <w:pStyle w:val="Heading1"/>
      </w:pPr>
      <w:r>
        <w:t>Spinraza Comparator as Intrathecal Analogue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Spinraza point</w:t>
            </w:r>
          </w:p>
        </w:tc>
        <w:tc>
          <w:tcPr>
            <w:tcW w:type="dxa" w:w="3552"/>
          </w:tcPr>
          <w:p>
            <w:r>
              <w:rPr>
                <w:b/>
              </w:rPr>
              <w:t>Public evidence</w:t>
            </w:r>
          </w:p>
        </w:tc>
        <w:tc>
          <w:tcPr>
            <w:tcW w:type="dxa" w:w="3552"/>
          </w:tcPr>
          <w:p>
            <w:r>
              <w:rPr>
                <w:b/>
              </w:rPr>
              <w:t>Why it is used</w:t>
            </w:r>
          </w:p>
        </w:tc>
      </w:tr>
      <w:tr>
        <w:tc>
          <w:tcPr>
            <w:tcW w:type="dxa" w:w="3552"/>
          </w:tcPr>
          <w:p>
            <w:r>
              <w:t>Intrathecal route</w:t>
            </w:r>
          </w:p>
        </w:tc>
        <w:tc>
          <w:tcPr>
            <w:tcW w:type="dxa" w:w="3552"/>
          </w:tcPr>
          <w:p>
            <w:r>
              <w:t>Confirmed in U.S. label [S1]</w:t>
            </w:r>
          </w:p>
        </w:tc>
        <w:tc>
          <w:tcPr>
            <w:tcW w:type="dxa" w:w="3552"/>
          </w:tcPr>
          <w:p>
            <w:r>
              <w:t>Shared administration context</w:t>
            </w:r>
          </w:p>
        </w:tc>
      </w:tr>
      <w:tr>
        <w:tc>
          <w:tcPr>
            <w:tcW w:type="dxa" w:w="3552"/>
          </w:tcPr>
          <w:p>
            <w:r>
              <w:t>Billing unit</w:t>
            </w:r>
          </w:p>
        </w:tc>
        <w:tc>
          <w:tcPr>
            <w:tcW w:type="dxa" w:w="3552"/>
          </w:tcPr>
          <w:p>
            <w:r>
              <w:t>J2326, 0.1 mg unit [S2]</w:t>
            </w:r>
          </w:p>
        </w:tc>
        <w:tc>
          <w:tcPr>
            <w:tcW w:type="dxa" w:w="3552"/>
          </w:tcPr>
          <w:p>
            <w:r>
              <w:t>Drug-to-dose translation discipline</w:t>
            </w:r>
          </w:p>
        </w:tc>
      </w:tr>
      <w:tr>
        <w:tc>
          <w:tcPr>
            <w:tcW w:type="dxa" w:w="3552"/>
          </w:tcPr>
          <w:p>
            <w:r>
              <w:t>Procedure sequence</w:t>
            </w:r>
          </w:p>
        </w:tc>
        <w:tc>
          <w:tcPr>
            <w:tcW w:type="dxa" w:w="3552"/>
          </w:tcPr>
          <w:p>
            <w:r>
              <w:t>CPT 96450 commonly billed same encounter [S3]</w:t>
            </w:r>
          </w:p>
        </w:tc>
        <w:tc>
          <w:tcPr>
            <w:tcW w:type="dxa" w:w="3552"/>
          </w:tcPr>
          <w:p>
            <w:r>
              <w:t>Drug and procedure economics are separate</w:t>
            </w:r>
          </w:p>
        </w:tc>
      </w:tr>
      <w:tr>
        <w:tc>
          <w:tcPr>
            <w:tcW w:type="dxa" w:w="3552"/>
          </w:tcPr>
          <w:p>
            <w:r>
              <w:t>WAC/list context</w:t>
            </w:r>
          </w:p>
        </w:tc>
        <w:tc>
          <w:tcPr>
            <w:tcW w:type="dxa" w:w="3552"/>
          </w:tcPr>
          <w:p>
            <w:r>
              <w:t>Recent public list-price references reported by Reuters [S4]</w:t>
            </w:r>
          </w:p>
        </w:tc>
        <w:tc>
          <w:tcPr>
            <w:tcW w:type="dxa" w:w="3552"/>
          </w:tcPr>
          <w:p>
            <w:r>
              <w:t>Market reference only</w:t>
            </w:r>
          </w:p>
        </w:tc>
      </w:tr>
      <w:tr>
        <w:tc>
          <w:tcPr>
            <w:tcW w:type="dxa" w:w="3552"/>
          </w:tcPr>
          <w:p>
            <w:r>
              <w:t>ASP reporting status</w:t>
            </w:r>
          </w:p>
        </w:tc>
        <w:tc>
          <w:tcPr>
            <w:tcW w:type="dxa" w:w="3552"/>
          </w:tcPr>
          <w:p>
            <w:r>
              <w:t>ASP file status does not determine coverage [S6]</w:t>
            </w:r>
          </w:p>
        </w:tc>
        <w:tc>
          <w:tcPr>
            <w:tcW w:type="dxa" w:w="3552"/>
          </w:tcPr>
          <w:p>
            <w:r>
              <w:t>Explicit data-availability constraint</w:t>
            </w:r>
          </w:p>
        </w:tc>
      </w:tr>
    </w:tbl>
    <w:p/>
    <w:p>
      <w:pPr>
        <w:pStyle w:val="Heading1"/>
      </w:pPr>
      <w:r>
        <w:t>Review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Appropriate statement</w:t>
            </w:r>
          </w:p>
        </w:tc>
        <w:tc>
          <w:tcPr>
            <w:tcW w:type="dxa" w:w="5328"/>
          </w:tcPr>
          <w:p>
            <w:r>
              <w:rPr>
                <w:b/>
              </w:rPr>
              <w:t>Boundary</w:t>
            </w:r>
          </w:p>
        </w:tc>
      </w:tr>
      <w:tr>
        <w:tc>
          <w:tcPr>
            <w:tcW w:type="dxa" w:w="5328"/>
          </w:tcPr>
          <w:p>
            <w:r>
              <w:t>The model compares acquisition, reimbursement, operating burden, and payment timing</w:t>
            </w:r>
          </w:p>
        </w:tc>
        <w:tc>
          <w:tcPr>
            <w:tcW w:type="dxa" w:w="5328"/>
          </w:tcPr>
          <w:p>
            <w:r>
              <w:t>It does not guarantee coverage or payment</w:t>
            </w:r>
          </w:p>
        </w:tc>
      </w:tr>
      <w:tr>
        <w:tc>
          <w:tcPr>
            <w:tcW w:type="dxa" w:w="5328"/>
          </w:tcPr>
          <w:p>
            <w:r>
              <w:t>The model tests 340B, non-340B, Medicaid, commercial, and white-bagging scenarios</w:t>
            </w:r>
          </w:p>
        </w:tc>
        <w:tc>
          <w:tcPr>
            <w:tcW w:type="dxa" w:w="5328"/>
          </w:tcPr>
          <w:p>
            <w:r>
              <w:t>It does not predict payer behavior</w:t>
            </w:r>
          </w:p>
        </w:tc>
      </w:tr>
      <w:tr>
        <w:tc>
          <w:tcPr>
            <w:tcW w:type="dxa" w:w="5328"/>
          </w:tcPr>
          <w:p>
            <w:r>
              <w:t>The model estimates support needed to close a provider shortfall</w:t>
            </w:r>
          </w:p>
        </w:tc>
        <w:tc>
          <w:tcPr>
            <w:tcW w:type="dxa" w:w="5328"/>
          </w:tcPr>
          <w:p>
            <w:r>
              <w:t>It does not recommend final price</w:t>
            </w:r>
          </w:p>
        </w:tc>
      </w:tr>
      <w:tr>
        <w:tc>
          <w:tcPr>
            <w:tcW w:type="dxa" w:w="5328"/>
          </w:tcPr>
          <w:p>
            <w:r>
              <w:t>Spinraza is used as an intrathecal reimbursement analogue</w:t>
            </w:r>
          </w:p>
        </w:tc>
        <w:tc>
          <w:tcPr>
            <w:tcW w:type="dxa" w:w="5328"/>
          </w:tcPr>
          <w:p>
            <w:r>
              <w:t>It does not imply clinical equivalence</w:t>
            </w:r>
          </w:p>
        </w:tc>
      </w:tr>
    </w:tbl>
    <w:p/>
    <w:p>
      <w:pPr>
        <w:pStyle w:val="Heading1"/>
      </w:pPr>
      <w:r>
        <w:t>5. Adrabetadex vs Intrathecal Analogue Framing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Economic layer</w:t>
            </w:r>
          </w:p>
        </w:tc>
        <w:tc>
          <w:tcPr>
            <w:tcW w:type="dxa" w:w="2664"/>
          </w:tcPr>
          <w:p>
            <w:r>
              <w:rPr>
                <w:b/>
              </w:rPr>
              <w:t>Adrabetadex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Spinraza analogue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this demonstrates</w:t>
            </w:r>
          </w:p>
        </w:tc>
      </w:tr>
      <w:tr>
        <w:tc>
          <w:tcPr>
            <w:tcW w:type="dxa" w:w="2664"/>
          </w:tcPr>
          <w:p>
            <w:r>
              <w:t>Gross price input</w:t>
            </w:r>
          </w:p>
        </w:tc>
        <w:tc>
          <w:tcPr>
            <w:tcW w:type="dxa" w:w="2664"/>
          </w:tcPr>
          <w:p>
            <w:r>
              <w:t>$39,000 per administration</w:t>
            </w:r>
          </w:p>
        </w:tc>
        <w:tc>
          <w:tcPr>
            <w:tcW w:type="dxa" w:w="2664"/>
          </w:tcPr>
          <w:p>
            <w:r>
              <w:t>Public WAC/list references available [S4]</w:t>
            </w:r>
          </w:p>
        </w:tc>
        <w:tc>
          <w:tcPr>
            <w:tcW w:type="dxa" w:w="2664"/>
          </w:tcPr>
          <w:p>
            <w:r>
              <w:t>Gross price is only the first input</w:t>
            </w:r>
          </w:p>
        </w:tc>
      </w:tr>
      <w:tr>
        <w:tc>
          <w:tcPr>
            <w:tcW w:type="dxa" w:w="2664"/>
          </w:tcPr>
          <w:p>
            <w:r>
              <w:t>Billing structure</w:t>
            </w:r>
          </w:p>
        </w:tc>
        <w:tc>
          <w:tcPr>
            <w:tcW w:type="dxa" w:w="2664"/>
          </w:tcPr>
          <w:p>
            <w:r>
              <w:t>Product-specific code pending</w:t>
            </w:r>
          </w:p>
        </w:tc>
        <w:tc>
          <w:tcPr>
            <w:tcW w:type="dxa" w:w="2664"/>
          </w:tcPr>
          <w:p>
            <w:r>
              <w:t>J2326, 0.1 mg unit [S2]</w:t>
            </w:r>
          </w:p>
        </w:tc>
        <w:tc>
          <w:tcPr>
            <w:tcW w:type="dxa" w:w="2664"/>
          </w:tcPr>
          <w:p>
            <w:r>
              <w:t>Coding structure affects claim translation</w:t>
            </w:r>
          </w:p>
        </w:tc>
      </w:tr>
      <w:tr>
        <w:tc>
          <w:tcPr>
            <w:tcW w:type="dxa" w:w="2664"/>
          </w:tcPr>
          <w:p>
            <w:r>
              <w:t>Payment benchmark</w:t>
            </w:r>
          </w:p>
        </w:tc>
        <w:tc>
          <w:tcPr>
            <w:tcW w:type="dxa" w:w="2664"/>
          </w:tcPr>
          <w:p>
            <w:r>
              <w:t>Initial WAC-based reference, payer-specific thereafter</w:t>
            </w:r>
          </w:p>
        </w:tc>
        <w:tc>
          <w:tcPr>
            <w:tcW w:type="dxa" w:w="2664"/>
          </w:tcPr>
          <w:p>
            <w:r>
              <w:t>ASP/payment visibility may vary [S6]</w:t>
            </w:r>
          </w:p>
        </w:tc>
        <w:tc>
          <w:tcPr>
            <w:tcW w:type="dxa" w:w="2664"/>
          </w:tcPr>
          <w:p>
            <w:r>
              <w:t>Payment logic must be modeled separately</w:t>
            </w:r>
          </w:p>
        </w:tc>
      </w:tr>
      <w:tr>
        <w:tc>
          <w:tcPr>
            <w:tcW w:type="dxa" w:w="2664"/>
          </w:tcPr>
          <w:p>
            <w:r>
              <w:t>Acquisition basis</w:t>
            </w:r>
          </w:p>
        </w:tc>
        <w:tc>
          <w:tcPr>
            <w:tcW w:type="dxa" w:w="2664"/>
          </w:tcPr>
          <w:p>
            <w:r>
              <w:t>WAC, 340B proxy, support, or channel path</w:t>
            </w:r>
          </w:p>
        </w:tc>
        <w:tc>
          <w:tcPr>
            <w:tcW w:type="dxa" w:w="2664"/>
          </w:tcPr>
          <w:p>
            <w:r>
              <w:t>Site/channel dependent</w:t>
            </w:r>
          </w:p>
        </w:tc>
        <w:tc>
          <w:tcPr>
            <w:tcW w:type="dxa" w:w="2664"/>
          </w:tcPr>
          <w:p>
            <w:r>
              <w:t>Provider cost is not automatically WAC</w:t>
            </w:r>
          </w:p>
        </w:tc>
      </w:tr>
      <w:tr>
        <w:tc>
          <w:tcPr>
            <w:tcW w:type="dxa" w:w="2664"/>
          </w:tcPr>
          <w:p>
            <w:r>
              <w:t>Net result</w:t>
            </w:r>
          </w:p>
        </w:tc>
        <w:tc>
          <w:tcPr>
            <w:tcW w:type="dxa" w:w="2664"/>
          </w:tcPr>
          <w:p>
            <w:r>
              <w:t>Scenario-calculated</w:t>
            </w:r>
          </w:p>
        </w:tc>
        <w:tc>
          <w:tcPr>
            <w:tcW w:type="dxa" w:w="2664"/>
          </w:tcPr>
          <w:p>
            <w:r>
              <w:t>Scenario-calculated if inputs are available</w:t>
            </w:r>
          </w:p>
        </w:tc>
        <w:tc>
          <w:tcPr>
            <w:tcW w:type="dxa" w:w="2664"/>
          </w:tcPr>
          <w:p>
            <w:r>
              <w:t>Provider economics are modeled, not assumed</w:t>
            </w:r>
          </w:p>
        </w:tc>
      </w:tr>
    </w:tbl>
    <w:p/>
    <w:p>
      <w:pPr>
        <w:pStyle w:val="Heading1"/>
      </w:pPr>
      <w:r>
        <w:t>6. Source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ID</w:t>
            </w:r>
          </w:p>
        </w:tc>
        <w:tc>
          <w:tcPr>
            <w:tcW w:type="dxa" w:w="53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5328"/>
          </w:tcPr>
          <w:p>
            <w:r>
              <w:t>S1</w:t>
            </w:r>
          </w:p>
        </w:tc>
        <w:tc>
          <w:tcPr>
            <w:tcW w:type="dxa" w:w="5328"/>
          </w:tcPr>
          <w:p>
            <w:r>
              <w:t>Spinraza U.S. prescribing information</w:t>
            </w:r>
          </w:p>
        </w:tc>
      </w:tr>
      <w:tr>
        <w:tc>
          <w:tcPr>
            <w:tcW w:type="dxa" w:w="5328"/>
          </w:tcPr>
          <w:p>
            <w:r>
              <w:t>S2</w:t>
            </w:r>
          </w:p>
        </w:tc>
        <w:tc>
          <w:tcPr>
            <w:tcW w:type="dxa" w:w="5328"/>
          </w:tcPr>
          <w:p>
            <w:r>
              <w:t>CMS HCPCS reference for J2326, nusinersen, 0.1 mg</w:t>
            </w:r>
          </w:p>
        </w:tc>
      </w:tr>
      <w:tr>
        <w:tc>
          <w:tcPr>
            <w:tcW w:type="dxa" w:w="5328"/>
          </w:tcPr>
          <w:p>
            <w:r>
              <w:t>S3</w:t>
            </w:r>
          </w:p>
        </w:tc>
        <w:tc>
          <w:tcPr>
            <w:tcW w:type="dxa" w:w="5328"/>
          </w:tcPr>
          <w:p>
            <w:r>
              <w:t>CMS/Noridian billing guidance for Spinraza</w:t>
            </w:r>
          </w:p>
        </w:tc>
      </w:tr>
      <w:tr>
        <w:tc>
          <w:tcPr>
            <w:tcW w:type="dxa" w:w="5328"/>
          </w:tcPr>
          <w:p>
            <w:r>
              <w:t>S4</w:t>
            </w:r>
          </w:p>
        </w:tc>
        <w:tc>
          <w:tcPr>
            <w:tcW w:type="dxa" w:w="5328"/>
          </w:tcPr>
          <w:p>
            <w:r>
              <w:t>Reuters, March 30, 2026 reporting on Spinraza public list-price references</w:t>
            </w:r>
          </w:p>
        </w:tc>
      </w:tr>
      <w:tr>
        <w:tc>
          <w:tcPr>
            <w:tcW w:type="dxa" w:w="5328"/>
          </w:tcPr>
          <w:p>
            <w:r>
              <w:t>S6</w:t>
            </w:r>
          </w:p>
        </w:tc>
        <w:tc>
          <w:tcPr>
            <w:tcW w:type="dxa" w:w="5328"/>
          </w:tcPr>
          <w:p>
            <w:r>
              <w:t>CMS ASP pricing-file policy that ASP file presence or absence does not prove coverage status</w:t>
            </w:r>
          </w:p>
        </w:tc>
      </w:tr>
      <w:tr>
        <w:tc>
          <w:tcPr>
            <w:tcW w:type="dxa" w:w="5328"/>
          </w:tcPr>
          <w:p>
            <w:r>
              <w:t>S8</w:t>
            </w:r>
          </w:p>
        </w:tc>
        <w:tc>
          <w:tcPr>
            <w:tcW w:type="dxa" w:w="5328"/>
          </w:tcPr>
          <w:p>
            <w:r>
              <w:t>42 CFR 414.904(e)(4), initial-period cap when ASP is unavailable</w:t>
            </w:r>
          </w:p>
        </w:tc>
      </w:tr>
    </w:tbl>
    <w:p/>
    <w:p>
      <w:pPr>
        <w:pStyle w:val="Heading1"/>
      </w:pPr>
      <w:r>
        <w:t>Bottom Line</w:t>
      </w:r>
    </w:p>
    <w:p>
      <w:r>
        <w:t>This model is a reimbursement execution tool built from the provider perspective. It converts payer rules and channel mechanics into center-level economics.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