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Adrabetadex Provider Net Cost Recovery Model</w:t>
      </w:r>
    </w:p>
    <w:p>
      <w:pPr>
        <w:pStyle w:val="Heading1"/>
      </w:pPr>
      <w:r>
        <w:t>Concept Review Brief</w:t>
      </w:r>
    </w:p>
    <w:p>
      <w:r>
        <w:t>Adrabetadex needs a provider net cost recovery model because gross WAC does not show whether a treatment center is financially whole after acquisition cost, reimbursement, operating burden, claim friction, and payment timing.</w:t>
      </w:r>
    </w:p>
    <w:p>
      <w:pPr>
        <w:pStyle w:val="Heading1"/>
      </w:pPr>
      <w:r>
        <w:t>Page 1: why the model is beneficial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Launch question</w:t>
            </w:r>
          </w:p>
        </w:tc>
        <w:tc>
          <w:tcPr>
            <w:tcW w:type="dxa" w:w="3552"/>
          </w:tcPr>
          <w:p>
            <w:r>
              <w:rPr>
                <w:b/>
              </w:rPr>
              <w:t>What the calculator makes visible</w:t>
            </w:r>
          </w:p>
        </w:tc>
        <w:tc>
          <w:tcPr>
            <w:tcW w:type="dxa" w:w="3552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3552"/>
          </w:tcPr>
          <w:p>
            <w:r>
              <w:t>Can a provider afford to start treatment?</w:t>
            </w:r>
          </w:p>
        </w:tc>
        <w:tc>
          <w:tcPr>
            <w:tcW w:type="dxa" w:w="3552"/>
          </w:tcPr>
          <w:p>
            <w:r>
              <w:t>Drug acquisition cost, reimbursement, and timing exposure by scenario</w:t>
            </w:r>
          </w:p>
        </w:tc>
        <w:tc>
          <w:tcPr>
            <w:tcW w:type="dxa" w:w="3552"/>
          </w:tcPr>
          <w:p>
            <w:r>
              <w:t>Identifies where uptake is economically workable, thin, or blocked</w:t>
            </w:r>
          </w:p>
        </w:tc>
      </w:tr>
      <w:tr>
        <w:tc>
          <w:tcPr>
            <w:tcW w:type="dxa" w:w="3552"/>
          </w:tcPr>
          <w:p>
            <w:r>
              <w:t>Does WAC overstate or understate provider economics?</w:t>
            </w:r>
          </w:p>
        </w:tc>
        <w:tc>
          <w:tcPr>
            <w:tcW w:type="dxa" w:w="3552"/>
          </w:tcPr>
          <w:p>
            <w:r>
              <w:t>WAC, acquisition basis, reimbursement, and net recovery as separate layers</w:t>
            </w:r>
          </w:p>
        </w:tc>
        <w:tc>
          <w:tcPr>
            <w:tcW w:type="dxa" w:w="3552"/>
          </w:tcPr>
          <w:p>
            <w:r>
              <w:t>Prevents list price from being treated as provider margin</w:t>
            </w:r>
          </w:p>
        </w:tc>
      </w:tr>
      <w:tr>
        <w:tc>
          <w:tcPr>
            <w:tcW w:type="dxa" w:w="3552"/>
          </w:tcPr>
          <w:p>
            <w:r>
              <w:t>Which sites should be prioritized?</w:t>
            </w:r>
          </w:p>
        </w:tc>
        <w:tc>
          <w:tcPr>
            <w:tcW w:type="dxa" w:w="3552"/>
          </w:tcPr>
          <w:p>
            <w:r>
              <w:t>COE/HOPD, non-340B, office, Medicaid, and white-bagging pathways</w:t>
            </w:r>
          </w:p>
        </w:tc>
        <w:tc>
          <w:tcPr>
            <w:tcW w:type="dxa" w:w="3552"/>
          </w:tcPr>
          <w:p>
            <w:r>
              <w:t>Supports practical launch sequencing</w:t>
            </w:r>
          </w:p>
        </w:tc>
      </w:tr>
      <w:tr>
        <w:tc>
          <w:tcPr>
            <w:tcW w:type="dxa" w:w="3552"/>
          </w:tcPr>
          <w:p>
            <w:r>
              <w:t>What support would change the result?</w:t>
            </w:r>
          </w:p>
        </w:tc>
        <w:tc>
          <w:tcPr>
            <w:tcW w:type="dxa" w:w="3552"/>
          </w:tcPr>
          <w:p>
            <w:r>
              <w:t>Support required to move a negative case to neutral</w:t>
            </w:r>
          </w:p>
        </w:tc>
        <w:tc>
          <w:tcPr>
            <w:tcW w:type="dxa" w:w="3552"/>
          </w:tcPr>
          <w:p>
            <w:r>
              <w:t>Ties support design to a specific provider gap</w:t>
            </w:r>
          </w:p>
        </w:tc>
      </w:tr>
      <w:tr>
        <w:tc>
          <w:tcPr>
            <w:tcW w:type="dxa" w:w="3552"/>
          </w:tcPr>
          <w:p>
            <w:r>
              <w:t>How should comparators be used?</w:t>
            </w:r>
          </w:p>
        </w:tc>
        <w:tc>
          <w:tcPr>
            <w:tcW w:type="dxa" w:w="3552"/>
          </w:tcPr>
          <w:p>
            <w:r>
              <w:t>Same reimbursement mechanics applied to an intrathecal analogue</w:t>
            </w:r>
          </w:p>
        </w:tc>
        <w:tc>
          <w:tcPr>
            <w:tcW w:type="dxa" w:w="3552"/>
          </w:tcPr>
          <w:p>
            <w:r>
              <w:t>Tests economic mechanics without making clinical-equivalence claims</w:t>
            </w:r>
          </w:p>
        </w:tc>
      </w:tr>
    </w:tbl>
    <w:p/>
    <w:p>
      <w:pPr>
        <w:pStyle w:val="Heading1"/>
      </w:pPr>
      <w:r>
        <w:t>Core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552"/>
          </w:tcPr>
          <w:p>
            <w:r>
              <w:rPr>
                <w:b/>
              </w:rPr>
              <w:t>Planning value</w:t>
            </w:r>
          </w:p>
        </w:tc>
        <w:tc>
          <w:tcPr>
            <w:tcW w:type="dxa" w:w="3552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3552"/>
          </w:tcPr>
          <w:p>
            <w:r>
              <w:t>WAC per 900 mg administration</w:t>
            </w:r>
          </w:p>
        </w:tc>
        <w:tc>
          <w:tcPr>
            <w:tcW w:type="dxa" w:w="3552"/>
          </w:tcPr>
          <w:p>
            <w:r>
              <w:t>$39,000</w:t>
            </w:r>
          </w:p>
        </w:tc>
        <w:tc>
          <w:tcPr>
            <w:tcW w:type="dxa" w:w="3552"/>
          </w:tcPr>
          <w:p>
            <w:r>
              <w:t>Gross starting point</w:t>
            </w:r>
          </w:p>
        </w:tc>
      </w:tr>
      <w:tr>
        <w:tc>
          <w:tcPr>
            <w:tcW w:type="dxa" w:w="3552"/>
          </w:tcPr>
          <w:p>
            <w:r>
              <w:t>Annual administrations</w:t>
            </w:r>
          </w:p>
        </w:tc>
        <w:tc>
          <w:tcPr>
            <w:tcW w:type="dxa" w:w="3552"/>
          </w:tcPr>
          <w:p>
            <w:r>
              <w:t>26</w:t>
            </w:r>
          </w:p>
        </w:tc>
        <w:tc>
          <w:tcPr>
            <w:tcW w:type="dxa" w:w="3552"/>
          </w:tcPr>
          <w:p>
            <w:r>
              <w:t>Scale of treatment exposure</w:t>
            </w:r>
          </w:p>
        </w:tc>
      </w:tr>
      <w:tr>
        <w:tc>
          <w:tcPr>
            <w:tcW w:type="dxa" w:w="3552"/>
          </w:tcPr>
          <w:p>
            <w:r>
              <w:t>Annual gross WAC exposure</w:t>
            </w:r>
          </w:p>
        </w:tc>
        <w:tc>
          <w:tcPr>
            <w:tcW w:type="dxa" w:w="3552"/>
          </w:tcPr>
          <w:p>
            <w:r>
              <w:t>$1,014,000</w:t>
            </w:r>
          </w:p>
        </w:tc>
        <w:tc>
          <w:tcPr>
            <w:tcW w:type="dxa" w:w="3552"/>
          </w:tcPr>
          <w:p>
            <w:r>
              <w:t>Inventory and budget magnitude</w:t>
            </w:r>
          </w:p>
        </w:tc>
      </w:tr>
      <w:tr>
        <w:tc>
          <w:tcPr>
            <w:tcW w:type="dxa" w:w="3552"/>
          </w:tcPr>
          <w:p>
            <w:r>
              <w:t>340B proxy acquisition</w:t>
            </w:r>
          </w:p>
        </w:tc>
        <w:tc>
          <w:tcPr>
            <w:tcW w:type="dxa" w:w="3552"/>
          </w:tcPr>
          <w:p>
            <w:r>
              <w:t>$29,991</w:t>
            </w:r>
          </w:p>
        </w:tc>
        <w:tc>
          <w:tcPr>
            <w:tcW w:type="dxa" w:w="3552"/>
          </w:tcPr>
          <w:p>
            <w:r>
              <w:t>Lower-acquisition scenario</w:t>
            </w:r>
          </w:p>
        </w:tc>
      </w:tr>
      <w:tr>
        <w:tc>
          <w:tcPr>
            <w:tcW w:type="dxa" w:w="3552"/>
          </w:tcPr>
          <w:p>
            <w:r>
              <w:t>Initial Part B reference</w:t>
            </w:r>
          </w:p>
        </w:tc>
        <w:tc>
          <w:tcPr>
            <w:tcW w:type="dxa" w:w="3552"/>
          </w:tcPr>
          <w:p>
            <w:r>
              <w:t>$40,170</w:t>
            </w:r>
          </w:p>
        </w:tc>
        <w:tc>
          <w:tcPr>
            <w:tcW w:type="dxa" w:w="3552"/>
          </w:tcPr>
          <w:p>
            <w:r>
              <w:t>Early benchmark when ASP is unavailable</w:t>
            </w:r>
          </w:p>
        </w:tc>
      </w:tr>
      <w:tr>
        <w:tc>
          <w:tcPr>
            <w:tcW w:type="dxa" w:w="3552"/>
          </w:tcPr>
          <w:p>
            <w:r>
              <w:t>Final model output</w:t>
            </w:r>
          </w:p>
        </w:tc>
        <w:tc>
          <w:tcPr>
            <w:tcW w:type="dxa" w:w="3552"/>
          </w:tcPr>
          <w:p>
            <w:r>
              <w:t>Recover or shortfall</w:t>
            </w:r>
          </w:p>
        </w:tc>
        <w:tc>
          <w:tcPr>
            <w:tcW w:type="dxa" w:w="3552"/>
          </w:tcPr>
          <w:p>
            <w:r>
              <w:t>Provider decision signal</w:t>
            </w:r>
          </w:p>
        </w:tc>
      </w:tr>
    </w:tbl>
    <w:p/>
    <w:p>
      <w:pPr>
        <w:pStyle w:val="Heading1"/>
      </w:pPr>
      <w:r>
        <w:t>Provider economics bridge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552"/>
          </w:tcPr>
          <w:p>
            <w:r>
              <w:rPr>
                <w:b/>
              </w:rPr>
              <w:t>What changes</w:t>
            </w:r>
          </w:p>
        </w:tc>
        <w:tc>
          <w:tcPr>
            <w:tcW w:type="dxa" w:w="3552"/>
          </w:tcPr>
          <w:p>
            <w:r>
              <w:rPr>
                <w:b/>
              </w:rPr>
              <w:t>Model output</w:t>
            </w:r>
          </w:p>
        </w:tc>
      </w:tr>
      <w:tr>
        <w:tc>
          <w:tcPr>
            <w:tcW w:type="dxa" w:w="3552"/>
          </w:tcPr>
          <w:p>
            <w:r>
              <w:t>Gross exposure</w:t>
            </w:r>
          </w:p>
        </w:tc>
        <w:tc>
          <w:tcPr>
            <w:tcW w:type="dxa" w:w="3552"/>
          </w:tcPr>
          <w:p>
            <w:r>
              <w:t>WAC multiplied by dosing cadence</w:t>
            </w:r>
          </w:p>
        </w:tc>
        <w:tc>
          <w:tcPr>
            <w:tcW w:type="dxa" w:w="3552"/>
          </w:tcPr>
          <w:p>
            <w:r>
              <w:t>Per-dose and annual exposure</w:t>
            </w:r>
          </w:p>
        </w:tc>
      </w:tr>
      <w:tr>
        <w:tc>
          <w:tcPr>
            <w:tcW w:type="dxa" w:w="3552"/>
          </w:tcPr>
          <w:p>
            <w:r>
              <w:t>Acquisition basis</w:t>
            </w:r>
          </w:p>
        </w:tc>
        <w:tc>
          <w:tcPr>
            <w:tcW w:type="dxa" w:w="3552"/>
          </w:tcPr>
          <w:p>
            <w:r>
              <w:t>WAC, 340B proxy, support, or no provider acquisition</w:t>
            </w:r>
          </w:p>
        </w:tc>
        <w:tc>
          <w:tcPr>
            <w:tcW w:type="dxa" w:w="3552"/>
          </w:tcPr>
          <w:p>
            <w:r>
              <w:t>Provider cost at risk</w:t>
            </w:r>
          </w:p>
        </w:tc>
      </w:tr>
      <w:tr>
        <w:tc>
          <w:tcPr>
            <w:tcW w:type="dxa" w:w="3552"/>
          </w:tcPr>
          <w:p>
            <w:r>
              <w:t>Reimbursement basis</w:t>
            </w:r>
          </w:p>
        </w:tc>
        <w:tc>
          <w:tcPr>
            <w:tcW w:type="dxa" w:w="3552"/>
          </w:tcPr>
          <w:p>
            <w:r>
              <w:t>Payer/site benchmark, contract, state method, or interim-code logic</w:t>
            </w:r>
          </w:p>
        </w:tc>
        <w:tc>
          <w:tcPr>
            <w:tcW w:type="dxa" w:w="3552"/>
          </w:tcPr>
          <w:p>
            <w:r>
              <w:t>Expected allowed payment</w:t>
            </w:r>
          </w:p>
        </w:tc>
      </w:tr>
      <w:tr>
        <w:tc>
          <w:tcPr>
            <w:tcW w:type="dxa" w:w="3552"/>
          </w:tcPr>
          <w:p>
            <w:r>
              <w:t>Operating burden</w:t>
            </w:r>
          </w:p>
        </w:tc>
        <w:tc>
          <w:tcPr>
            <w:tcW w:type="dxa" w:w="3552"/>
          </w:tcPr>
          <w:p>
            <w:r>
              <w:t>Labor, pharmacy handling, billing/admin, financing, denial rework</w:t>
            </w:r>
          </w:p>
        </w:tc>
        <w:tc>
          <w:tcPr>
            <w:tcW w:type="dxa" w:w="3552"/>
          </w:tcPr>
          <w:p>
            <w:r>
              <w:t>Margin erosion</w:t>
            </w:r>
          </w:p>
        </w:tc>
      </w:tr>
      <w:tr>
        <w:tc>
          <w:tcPr>
            <w:tcW w:type="dxa" w:w="3552"/>
          </w:tcPr>
          <w:p>
            <w:r>
              <w:t>Net recovery</w:t>
            </w:r>
          </w:p>
        </w:tc>
        <w:tc>
          <w:tcPr>
            <w:tcW w:type="dxa" w:w="3552"/>
          </w:tcPr>
          <w:p>
            <w:r>
              <w:t>Reimbursement plus non-drug contribution minus total burden</w:t>
            </w:r>
          </w:p>
        </w:tc>
        <w:tc>
          <w:tcPr>
            <w:tcW w:type="dxa" w:w="3552"/>
          </w:tcPr>
          <w:p>
            <w:r>
              <w:t>Workable, thin, negative, or state-dependent</w:t>
            </w:r>
          </w:p>
        </w:tc>
      </w:tr>
    </w:tbl>
    <w:p/>
    <w:p>
      <w:pPr>
        <w:pStyle w:val="Heading1"/>
      </w:pPr>
      <w:r>
        <w:t>Scenario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664"/>
          </w:tcPr>
          <w:p>
            <w:r>
              <w:rPr>
                <w:b/>
              </w:rPr>
              <w:t>Acquisition</w:t>
            </w:r>
          </w:p>
        </w:tc>
        <w:tc>
          <w:tcPr>
            <w:tcW w:type="dxa" w:w="2664"/>
          </w:tcPr>
          <w:p>
            <w:r>
              <w:rPr>
                <w:b/>
              </w:rPr>
              <w:t>Reimbursement basis</w:t>
            </w:r>
          </w:p>
        </w:tc>
        <w:tc>
          <w:tcPr>
            <w:tcW w:type="dxa" w:w="2664"/>
          </w:tcPr>
          <w:p>
            <w:r>
              <w:rPr>
                <w:b/>
              </w:rPr>
              <w:t>Draft signal</w:t>
            </w:r>
          </w:p>
        </w:tc>
      </w:tr>
      <w:tr>
        <w:tc>
          <w:tcPr>
            <w:tcW w:type="dxa" w:w="2664"/>
          </w:tcPr>
          <w:p>
            <w:r>
              <w:t>340B COE / HOPD</w:t>
            </w:r>
          </w:p>
        </w:tc>
        <w:tc>
          <w:tcPr>
            <w:tcW w:type="dxa" w:w="2664"/>
          </w:tcPr>
          <w:p>
            <w:r>
              <w:t>$29,991</w:t>
            </w:r>
          </w:p>
        </w:tc>
        <w:tc>
          <w:tcPr>
            <w:tcW w:type="dxa" w:w="2664"/>
          </w:tcPr>
          <w:p>
            <w:r>
              <w:t>$40,170 benchmark logic</w:t>
            </w:r>
          </w:p>
        </w:tc>
        <w:tc>
          <w:tcPr>
            <w:tcW w:type="dxa" w:w="2664"/>
          </w:tcPr>
          <w:p>
            <w:r>
              <w:t>Workable</w:t>
            </w:r>
          </w:p>
        </w:tc>
      </w:tr>
      <w:tr>
        <w:tc>
          <w:tcPr>
            <w:tcW w:type="dxa" w:w="2664"/>
          </w:tcPr>
          <w:p>
            <w:r>
              <w:t>Non-340B HOPD</w:t>
            </w:r>
          </w:p>
        </w:tc>
        <w:tc>
          <w:tcPr>
            <w:tcW w:type="dxa" w:w="2664"/>
          </w:tcPr>
          <w:p>
            <w:r>
              <w:t>$39,000</w:t>
            </w:r>
          </w:p>
        </w:tc>
        <w:tc>
          <w:tcPr>
            <w:tcW w:type="dxa" w:w="2664"/>
          </w:tcPr>
          <w:p>
            <w:r>
              <w:t>$40,170 benchmark logic</w:t>
            </w:r>
          </w:p>
        </w:tc>
        <w:tc>
          <w:tcPr>
            <w:tcW w:type="dxa" w:w="2664"/>
          </w:tcPr>
          <w:p>
            <w:r>
              <w:t>Thin to negative</w:t>
            </w:r>
          </w:p>
        </w:tc>
      </w:tr>
      <w:tr>
        <w:tc>
          <w:tcPr>
            <w:tcW w:type="dxa" w:w="2664"/>
          </w:tcPr>
          <w:p>
            <w:r>
              <w:t>Commercial buy-and-bill + 5% support</w:t>
            </w:r>
          </w:p>
        </w:tc>
        <w:tc>
          <w:tcPr>
            <w:tcW w:type="dxa" w:w="2664"/>
          </w:tcPr>
          <w:p>
            <w:r>
              <w:t>$37,050</w:t>
            </w:r>
          </w:p>
        </w:tc>
        <w:tc>
          <w:tcPr>
            <w:tcW w:type="dxa" w:w="2664"/>
          </w:tcPr>
          <w:p>
            <w:r>
              <w:t>Medical benchmark</w:t>
            </w:r>
          </w:p>
        </w:tc>
        <w:tc>
          <w:tcPr>
            <w:tcW w:type="dxa" w:w="2664"/>
          </w:tcPr>
          <w:p>
            <w:r>
              <w:t>Potentially neutral</w:t>
            </w:r>
          </w:p>
        </w:tc>
      </w:tr>
      <w:tr>
        <w:tc>
          <w:tcPr>
            <w:tcW w:type="dxa" w:w="2664"/>
          </w:tcPr>
          <w:p>
            <w:r>
              <w:t>Commercial buy-and-bill + 10% support</w:t>
            </w:r>
          </w:p>
        </w:tc>
        <w:tc>
          <w:tcPr>
            <w:tcW w:type="dxa" w:w="2664"/>
          </w:tcPr>
          <w:p>
            <w:r>
              <w:t>$35,100</w:t>
            </w:r>
          </w:p>
        </w:tc>
        <w:tc>
          <w:tcPr>
            <w:tcW w:type="dxa" w:w="2664"/>
          </w:tcPr>
          <w:p>
            <w:r>
              <w:t>Medical benchmark</w:t>
            </w:r>
          </w:p>
        </w:tc>
        <w:tc>
          <w:tcPr>
            <w:tcW w:type="dxa" w:w="2664"/>
          </w:tcPr>
          <w:p>
            <w:r>
              <w:t>More consistently neutral</w:t>
            </w:r>
          </w:p>
        </w:tc>
      </w:tr>
      <w:tr>
        <w:tc>
          <w:tcPr>
            <w:tcW w:type="dxa" w:w="2664"/>
          </w:tcPr>
          <w:p>
            <w:r>
              <w:t>Commercial white-bagging</w:t>
            </w:r>
          </w:p>
        </w:tc>
        <w:tc>
          <w:tcPr>
            <w:tcW w:type="dxa" w:w="2664"/>
          </w:tcPr>
          <w:p>
            <w:r>
              <w:t>$0 provider drug acquisition</w:t>
            </w:r>
          </w:p>
        </w:tc>
        <w:tc>
          <w:tcPr>
            <w:tcW w:type="dxa" w:w="2664"/>
          </w:tcPr>
          <w:p>
            <w:r>
              <w:t>Administration-only economics</w:t>
            </w:r>
          </w:p>
        </w:tc>
        <w:tc>
          <w:tcPr>
            <w:tcW w:type="dxa" w:w="2664"/>
          </w:tcPr>
          <w:p>
            <w:r>
              <w:t>No drug spread</w:t>
            </w:r>
          </w:p>
        </w:tc>
      </w:tr>
      <w:tr>
        <w:tc>
          <w:tcPr>
            <w:tcW w:type="dxa" w:w="2664"/>
          </w:tcPr>
          <w:p>
            <w:r>
              <w:t>Medicaid non-340B</w:t>
            </w:r>
          </w:p>
        </w:tc>
        <w:tc>
          <w:tcPr>
            <w:tcW w:type="dxa" w:w="2664"/>
          </w:tcPr>
          <w:p>
            <w:r>
              <w:t>State-specific</w:t>
            </w:r>
          </w:p>
        </w:tc>
        <w:tc>
          <w:tcPr>
            <w:tcW w:type="dxa" w:w="2664"/>
          </w:tcPr>
          <w:p>
            <w:r>
              <w:t>PAD or MCO logic</w:t>
            </w:r>
          </w:p>
        </w:tc>
        <w:tc>
          <w:tcPr>
            <w:tcW w:type="dxa" w:w="2664"/>
          </w:tcPr>
          <w:p>
            <w:r>
              <w:t>High variance</w:t>
            </w:r>
          </w:p>
        </w:tc>
      </w:tr>
    </w:tbl>
    <w:p/>
    <w:p>
      <w:pPr>
        <w:pStyle w:val="Heading1"/>
      </w:pPr>
      <w:r>
        <w:t>Page 2: comparator use, boundaries, and source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r>
              <w:rPr>
                <w:b/>
              </w:rPr>
              <w:t>Comparator question</w:t>
            </w:r>
          </w:p>
        </w:tc>
        <w:tc>
          <w:tcPr>
            <w:tcW w:type="dxa" w:w="3552"/>
          </w:tcPr>
          <w:p>
            <w:r>
              <w:rPr>
                <w:b/>
              </w:rPr>
              <w:t>Spinraza evidence point</w:t>
            </w:r>
          </w:p>
        </w:tc>
        <w:tc>
          <w:tcPr>
            <w:tcW w:type="dxa" w:w="3552"/>
          </w:tcPr>
          <w:p>
            <w:r>
              <w:rPr>
                <w:b/>
              </w:rPr>
              <w:t>Use in this model</w:t>
            </w:r>
          </w:p>
        </w:tc>
      </w:tr>
      <w:tr>
        <w:tc>
          <w:tcPr>
            <w:tcW w:type="dxa" w:w="3552"/>
          </w:tcPr>
          <w:p>
            <w:r>
              <w:t>Is there an intrathecal reimbursement analogue?</w:t>
            </w:r>
          </w:p>
        </w:tc>
        <w:tc>
          <w:tcPr>
            <w:tcW w:type="dxa" w:w="3552"/>
          </w:tcPr>
          <w:p>
            <w:r>
              <w:t>Spinraza is administered intrathecally [S1]</w:t>
            </w:r>
          </w:p>
        </w:tc>
        <w:tc>
          <w:tcPr>
            <w:tcW w:type="dxa" w:w="3552"/>
          </w:tcPr>
          <w:p>
            <w:r>
              <w:t>Relevant administration workflow reference</w:t>
            </w:r>
          </w:p>
        </w:tc>
      </w:tr>
      <w:tr>
        <w:tc>
          <w:tcPr>
            <w:tcW w:type="dxa" w:w="3552"/>
          </w:tcPr>
          <w:p>
            <w:r>
              <w:t>Does billing-unit structure matter?</w:t>
            </w:r>
          </w:p>
        </w:tc>
        <w:tc>
          <w:tcPr>
            <w:tcW w:type="dxa" w:w="3552"/>
          </w:tcPr>
          <w:p>
            <w:r>
              <w:t>HCPCS J2326 is nusinersen, 0.1 mg [S2]</w:t>
            </w:r>
          </w:p>
        </w:tc>
        <w:tc>
          <w:tcPr>
            <w:tcW w:type="dxa" w:w="3552"/>
          </w:tcPr>
          <w:p>
            <w:r>
              <w:t>Reinforces dose-to-unit translation</w:t>
            </w:r>
          </w:p>
        </w:tc>
      </w:tr>
      <w:tr>
        <w:tc>
          <w:tcPr>
            <w:tcW w:type="dxa" w:w="3552"/>
          </w:tcPr>
          <w:p>
            <w:r>
              <w:t>Are drug and procedure economics separate?</w:t>
            </w:r>
          </w:p>
        </w:tc>
        <w:tc>
          <w:tcPr>
            <w:tcW w:type="dxa" w:w="3552"/>
          </w:tcPr>
          <w:p>
            <w:r>
              <w:t>Billing guidance identifies intrathecal administration context [S3]</w:t>
            </w:r>
          </w:p>
        </w:tc>
        <w:tc>
          <w:tcPr>
            <w:tcW w:type="dxa" w:w="3552"/>
          </w:tcPr>
          <w:p>
            <w:r>
              <w:t>Keeps drug payment distinct from procedure revenue</w:t>
            </w:r>
          </w:p>
        </w:tc>
      </w:tr>
      <w:tr>
        <w:tc>
          <w:tcPr>
            <w:tcW w:type="dxa" w:w="3552"/>
          </w:tcPr>
          <w:p>
            <w:r>
              <w:t>Can WAC and ASP visibility diverge?</w:t>
            </w:r>
          </w:p>
        </w:tc>
        <w:tc>
          <w:tcPr>
            <w:tcW w:type="dxa" w:w="3552"/>
          </w:tcPr>
          <w:p>
            <w:r>
              <w:t>Public list-price reporting is available, while ASP-file visibility may be incomplete [S4][S6]</w:t>
            </w:r>
          </w:p>
        </w:tc>
        <w:tc>
          <w:tcPr>
            <w:tcW w:type="dxa" w:w="3552"/>
          </w:tcPr>
          <w:p>
            <w:r>
              <w:t>Supports separate WAC, acquisition, and payment fields</w:t>
            </w:r>
          </w:p>
        </w:tc>
      </w:tr>
      <w:tr>
        <w:tc>
          <w:tcPr>
            <w:tcW w:type="dxa" w:w="3552"/>
          </w:tcPr>
          <w:p>
            <w:r>
              <w:t>Is this a clinical comparison?</w:t>
            </w:r>
          </w:p>
        </w:tc>
        <w:tc>
          <w:tcPr>
            <w:tcW w:type="dxa" w:w="3552"/>
          </w:tcPr>
          <w:p>
            <w:r>
              <w:t>No</w:t>
            </w:r>
          </w:p>
        </w:tc>
        <w:tc>
          <w:tcPr>
            <w:tcW w:type="dxa" w:w="3552"/>
          </w:tcPr>
          <w:p>
            <w:r>
              <w:t>Comparator use is economic and operational only</w:t>
            </w:r>
          </w:p>
        </w:tc>
      </w:tr>
    </w:tbl>
    <w:p/>
    <w:p>
      <w:pPr>
        <w:pStyle w:val="Heading1"/>
      </w:pPr>
      <w:r>
        <w:t>Adrabetadex vs intrathecal analogue framing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Economic layer</w:t>
            </w:r>
          </w:p>
        </w:tc>
        <w:tc>
          <w:tcPr>
            <w:tcW w:type="dxa" w:w="2664"/>
          </w:tcPr>
          <w:p>
            <w:r>
              <w:rPr>
                <w:b/>
              </w:rPr>
              <w:t>Adrabetadex</w:t>
            </w:r>
          </w:p>
        </w:tc>
        <w:tc>
          <w:tcPr>
            <w:tcW w:type="dxa" w:w="2664"/>
          </w:tcPr>
          <w:p>
            <w:r>
              <w:rPr>
                <w:b/>
              </w:rPr>
              <w:t>Spinraza analogue</w:t>
            </w:r>
          </w:p>
        </w:tc>
        <w:tc>
          <w:tcPr>
            <w:tcW w:type="dxa" w:w="2664"/>
          </w:tcPr>
          <w:p>
            <w:r>
              <w:rPr>
                <w:b/>
              </w:rPr>
              <w:t>What this demonstrates</w:t>
            </w:r>
          </w:p>
        </w:tc>
      </w:tr>
      <w:tr>
        <w:tc>
          <w:tcPr>
            <w:tcW w:type="dxa" w:w="2664"/>
          </w:tcPr>
          <w:p>
            <w:r>
              <w:t>Gross price input</w:t>
            </w:r>
          </w:p>
        </w:tc>
        <w:tc>
          <w:tcPr>
            <w:tcW w:type="dxa" w:w="2664"/>
          </w:tcPr>
          <w:p>
            <w:r>
              <w:t>$39,000 per administration</w:t>
            </w:r>
          </w:p>
        </w:tc>
        <w:tc>
          <w:tcPr>
            <w:tcW w:type="dxa" w:w="2664"/>
          </w:tcPr>
          <w:p>
            <w:r>
              <w:t>Public WAC/list references available [S4]</w:t>
            </w:r>
          </w:p>
        </w:tc>
        <w:tc>
          <w:tcPr>
            <w:tcW w:type="dxa" w:w="2664"/>
          </w:tcPr>
          <w:p>
            <w:r>
              <w:t>Gross price is only the first input</w:t>
            </w:r>
          </w:p>
        </w:tc>
      </w:tr>
      <w:tr>
        <w:tc>
          <w:tcPr>
            <w:tcW w:type="dxa" w:w="2664"/>
          </w:tcPr>
          <w:p>
            <w:r>
              <w:t>Billing structure</w:t>
            </w:r>
          </w:p>
        </w:tc>
        <w:tc>
          <w:tcPr>
            <w:tcW w:type="dxa" w:w="2664"/>
          </w:tcPr>
          <w:p>
            <w:r>
              <w:t>Product-specific code pending</w:t>
            </w:r>
          </w:p>
        </w:tc>
        <w:tc>
          <w:tcPr>
            <w:tcW w:type="dxa" w:w="2664"/>
          </w:tcPr>
          <w:p>
            <w:r>
              <w:t>J2326, 0.1 mg unit [S2]</w:t>
            </w:r>
          </w:p>
        </w:tc>
        <w:tc>
          <w:tcPr>
            <w:tcW w:type="dxa" w:w="2664"/>
          </w:tcPr>
          <w:p>
            <w:r>
              <w:t>Coding structure affects claim translation</w:t>
            </w:r>
          </w:p>
        </w:tc>
      </w:tr>
      <w:tr>
        <w:tc>
          <w:tcPr>
            <w:tcW w:type="dxa" w:w="2664"/>
          </w:tcPr>
          <w:p>
            <w:r>
              <w:t>Payment benchmark</w:t>
            </w:r>
          </w:p>
        </w:tc>
        <w:tc>
          <w:tcPr>
            <w:tcW w:type="dxa" w:w="2664"/>
          </w:tcPr>
          <w:p>
            <w:r>
              <w:t>Initial WAC-based reference, payer-specific thereafter</w:t>
            </w:r>
          </w:p>
        </w:tc>
        <w:tc>
          <w:tcPr>
            <w:tcW w:type="dxa" w:w="2664"/>
          </w:tcPr>
          <w:p>
            <w:r>
              <w:t>ASP/payment visibility may vary [S6]</w:t>
            </w:r>
          </w:p>
        </w:tc>
        <w:tc>
          <w:tcPr>
            <w:tcW w:type="dxa" w:w="2664"/>
          </w:tcPr>
          <w:p>
            <w:r>
              <w:t>Payment logic must be modeled separately</w:t>
            </w:r>
          </w:p>
        </w:tc>
      </w:tr>
      <w:tr>
        <w:tc>
          <w:tcPr>
            <w:tcW w:type="dxa" w:w="2664"/>
          </w:tcPr>
          <w:p>
            <w:r>
              <w:t>Acquisition basis</w:t>
            </w:r>
          </w:p>
        </w:tc>
        <w:tc>
          <w:tcPr>
            <w:tcW w:type="dxa" w:w="2664"/>
          </w:tcPr>
          <w:p>
            <w:r>
              <w:t>WAC, 340B proxy, support, or channel path</w:t>
            </w:r>
          </w:p>
        </w:tc>
        <w:tc>
          <w:tcPr>
            <w:tcW w:type="dxa" w:w="2664"/>
          </w:tcPr>
          <w:p>
            <w:r>
              <w:t>Site/channel dependent</w:t>
            </w:r>
          </w:p>
        </w:tc>
        <w:tc>
          <w:tcPr>
            <w:tcW w:type="dxa" w:w="2664"/>
          </w:tcPr>
          <w:p>
            <w:r>
              <w:t>Provider cost is not automatically WAC</w:t>
            </w:r>
          </w:p>
        </w:tc>
      </w:tr>
      <w:tr>
        <w:tc>
          <w:tcPr>
            <w:tcW w:type="dxa" w:w="2664"/>
          </w:tcPr>
          <w:p>
            <w:r>
              <w:t>Net result</w:t>
            </w:r>
          </w:p>
        </w:tc>
        <w:tc>
          <w:tcPr>
            <w:tcW w:type="dxa" w:w="2664"/>
          </w:tcPr>
          <w:p>
            <w:r>
              <w:t>Scenario-calculated</w:t>
            </w:r>
          </w:p>
        </w:tc>
        <w:tc>
          <w:tcPr>
            <w:tcW w:type="dxa" w:w="2664"/>
          </w:tcPr>
          <w:p>
            <w:r>
              <w:t>Scenario-calculated if assumptions are available</w:t>
            </w:r>
          </w:p>
        </w:tc>
        <w:tc>
          <w:tcPr>
            <w:tcW w:type="dxa" w:w="2664"/>
          </w:tcPr>
          <w:p>
            <w:r>
              <w:t>Provider economics are modeled, not assumed</w:t>
            </w:r>
          </w:p>
        </w:tc>
      </w:tr>
    </w:tbl>
    <w:p/>
    <w:p>
      <w:pPr>
        <w:pStyle w:val="Heading1"/>
      </w:pPr>
      <w:r>
        <w:t>Review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Appropriate statement</w:t>
            </w:r>
          </w:p>
        </w:tc>
        <w:tc>
          <w:tcPr>
            <w:tcW w:type="dxa" w:w="5328"/>
          </w:tcPr>
          <w:p>
            <w:r>
              <w:rPr>
                <w:b/>
              </w:rPr>
              <w:t>Boundary</w:t>
            </w:r>
          </w:p>
        </w:tc>
      </w:tr>
      <w:tr>
        <w:tc>
          <w:tcPr>
            <w:tcW w:type="dxa" w:w="5328"/>
          </w:tcPr>
          <w:p>
            <w:r>
              <w:t>The model compares acquisition, reimbursement, operating burden, and payment timing</w:t>
            </w:r>
          </w:p>
        </w:tc>
        <w:tc>
          <w:tcPr>
            <w:tcW w:type="dxa" w:w="5328"/>
          </w:tcPr>
          <w:p>
            <w:r>
              <w:t>It does not guarantee coverage or payment</w:t>
            </w:r>
          </w:p>
        </w:tc>
      </w:tr>
      <w:tr>
        <w:tc>
          <w:tcPr>
            <w:tcW w:type="dxa" w:w="5328"/>
          </w:tcPr>
          <w:p>
            <w:r>
              <w:t>The model tests 340B, non-340B, Medicaid, commercial, and white-bagging scenarios</w:t>
            </w:r>
          </w:p>
        </w:tc>
        <w:tc>
          <w:tcPr>
            <w:tcW w:type="dxa" w:w="5328"/>
          </w:tcPr>
          <w:p>
            <w:r>
              <w:t>It does not predict payer behavior</w:t>
            </w:r>
          </w:p>
        </w:tc>
      </w:tr>
      <w:tr>
        <w:tc>
          <w:tcPr>
            <w:tcW w:type="dxa" w:w="5328"/>
          </w:tcPr>
          <w:p>
            <w:r>
              <w:t>The model estimates support needed to close a provider shortfall</w:t>
            </w:r>
          </w:p>
        </w:tc>
        <w:tc>
          <w:tcPr>
            <w:tcW w:type="dxa" w:w="5328"/>
          </w:tcPr>
          <w:p>
            <w:r>
              <w:t>It does not recommend final price</w:t>
            </w:r>
          </w:p>
        </w:tc>
      </w:tr>
      <w:tr>
        <w:tc>
          <w:tcPr>
            <w:tcW w:type="dxa" w:w="5328"/>
          </w:tcPr>
          <w:p>
            <w:r>
              <w:t>Spinraza is used as an intrathecal reimbursement analogue</w:t>
            </w:r>
          </w:p>
        </w:tc>
        <w:tc>
          <w:tcPr>
            <w:tcW w:type="dxa" w:w="5328"/>
          </w:tcPr>
          <w:p>
            <w:r>
              <w:t>It does not imply clinical equivalence</w:t>
            </w:r>
          </w:p>
        </w:tc>
      </w:tr>
      <w:tr>
        <w:tc>
          <w:tcPr>
            <w:tcW w:type="dxa" w:w="5328"/>
          </w:tcPr>
          <w:p>
            <w:r>
              <w:t>Scenario outputs support launch planning</w:t>
            </w:r>
          </w:p>
        </w:tc>
        <w:tc>
          <w:tcPr>
            <w:tcW w:type="dxa" w:w="5328"/>
          </w:tcPr>
          <w:p>
            <w:r>
              <w:t>They remain subject to payer rules, coding, documentation, and benefit design</w:t>
            </w:r>
          </w:p>
        </w:tc>
      </w:tr>
    </w:tbl>
    <w:p/>
    <w:p>
      <w:pPr>
        <w:pStyle w:val="Heading1"/>
      </w:pPr>
      <w:r>
        <w:t>Source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rPr>
                <w:b/>
              </w:rPr>
              <w:t>ID</w:t>
            </w:r>
          </w:p>
        </w:tc>
        <w:tc>
          <w:tcPr>
            <w:tcW w:type="dxa" w:w="53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5328"/>
          </w:tcPr>
          <w:p>
            <w:r>
              <w:t>S1</w:t>
            </w:r>
          </w:p>
        </w:tc>
        <w:tc>
          <w:tcPr>
            <w:tcW w:type="dxa" w:w="5328"/>
          </w:tcPr>
          <w:p>
            <w:r>
              <w:t>Spinraza U.S. prescribing information</w:t>
            </w:r>
          </w:p>
        </w:tc>
      </w:tr>
      <w:tr>
        <w:tc>
          <w:tcPr>
            <w:tcW w:type="dxa" w:w="5328"/>
          </w:tcPr>
          <w:p>
            <w:r>
              <w:t>S2</w:t>
            </w:r>
          </w:p>
        </w:tc>
        <w:tc>
          <w:tcPr>
            <w:tcW w:type="dxa" w:w="5328"/>
          </w:tcPr>
          <w:p>
            <w:r>
              <w:t>CMS HCPCS reference for J2326, nusinersen, 0.1 mg</w:t>
            </w:r>
          </w:p>
        </w:tc>
      </w:tr>
      <w:tr>
        <w:tc>
          <w:tcPr>
            <w:tcW w:type="dxa" w:w="5328"/>
          </w:tcPr>
          <w:p>
            <w:r>
              <w:t>S3</w:t>
            </w:r>
          </w:p>
        </w:tc>
        <w:tc>
          <w:tcPr>
            <w:tcW w:type="dxa" w:w="5328"/>
          </w:tcPr>
          <w:p>
            <w:r>
              <w:t>CMS/Noridian billing guidance for Spinraza</w:t>
            </w:r>
          </w:p>
        </w:tc>
      </w:tr>
      <w:tr>
        <w:tc>
          <w:tcPr>
            <w:tcW w:type="dxa" w:w="5328"/>
          </w:tcPr>
          <w:p>
            <w:r>
              <w:t>S4</w:t>
            </w:r>
          </w:p>
        </w:tc>
        <w:tc>
          <w:tcPr>
            <w:tcW w:type="dxa" w:w="5328"/>
          </w:tcPr>
          <w:p>
            <w:r>
              <w:t>Reuters, March 30, 2026 reporting on Spinraza public list-price references</w:t>
            </w:r>
          </w:p>
        </w:tc>
      </w:tr>
      <w:tr>
        <w:tc>
          <w:tcPr>
            <w:tcW w:type="dxa" w:w="5328"/>
          </w:tcPr>
          <w:p>
            <w:r>
              <w:t>S6</w:t>
            </w:r>
          </w:p>
        </w:tc>
        <w:tc>
          <w:tcPr>
            <w:tcW w:type="dxa" w:w="5328"/>
          </w:tcPr>
          <w:p>
            <w:r>
              <w:t>CMS ASP pricing-file policy that ASP file presence or absence does not prove coverage status</w:t>
            </w:r>
          </w:p>
        </w:tc>
      </w:tr>
      <w:tr>
        <w:tc>
          <w:tcPr>
            <w:tcW w:type="dxa" w:w="5328"/>
          </w:tcPr>
          <w:p>
            <w:r>
              <w:t>S8</w:t>
            </w:r>
          </w:p>
        </w:tc>
        <w:tc>
          <w:tcPr>
            <w:tcW w:type="dxa" w:w="5328"/>
          </w:tcPr>
          <w:p>
            <w:r>
              <w:t>42 CFR 414.904(e)(4), initial-period cap when ASP is unavailable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