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CF8D4" w14:textId="67CB39EC" w:rsidR="000C25E0" w:rsidRDefault="00AB31C1">
      <w:pPr>
        <w:spacing w:after="200"/>
      </w:pPr>
      <w:r>
        <w:t>Executive Brief | April 2026</w:t>
      </w:r>
    </w:p>
    <w:p w14:paraId="34B2CA56" w14:textId="51A234D0" w:rsidR="000C25E0" w:rsidRPr="00D43393" w:rsidRDefault="00AB31C1" w:rsidP="00D43393">
      <w:pPr>
        <w:keepNext/>
        <w:spacing w:after="240" w:line="240" w:lineRule="auto"/>
        <w:jc w:val="center"/>
        <w:rPr>
          <w:sz w:val="13"/>
          <w:szCs w:val="15"/>
        </w:rPr>
      </w:pPr>
      <w:r w:rsidRPr="00D43393">
        <w:rPr>
          <w:b/>
          <w:color w:val="4E8A2D"/>
          <w:sz w:val="32"/>
          <w:szCs w:val="15"/>
        </w:rPr>
        <w:t>Adrabetadex Provider Net Cost Recovery Model</w:t>
      </w:r>
      <w:r w:rsidR="00D43393" w:rsidRPr="00D43393">
        <w:rPr>
          <w:b/>
          <w:color w:val="4E8A2D"/>
          <w:sz w:val="32"/>
          <w:szCs w:val="15"/>
        </w:rPr>
        <w:t xml:space="preserve"> Concept Brief</w:t>
      </w:r>
    </w:p>
    <w:p w14:paraId="4A091F9B" w14:textId="77777777" w:rsidR="000C25E0" w:rsidRDefault="00AB31C1">
      <w:pPr>
        <w:keepNext/>
        <w:spacing w:before="40" w:after="80" w:line="245" w:lineRule="auto"/>
      </w:pPr>
      <w:r>
        <w:rPr>
          <w:b/>
          <w:color w:val="4E8A2D"/>
          <w:sz w:val="28"/>
        </w:rPr>
        <w:t>Executive Summary</w:t>
      </w:r>
    </w:p>
    <w:p w14:paraId="0A8288E4" w14:textId="5CC35C82" w:rsidR="00AE5E52" w:rsidRDefault="00AE5E52" w:rsidP="00AE5E52">
      <w:bookmarkStart w:id="0" w:name="_Hlk228231361"/>
      <w:proofErr w:type="spellStart"/>
      <w:r w:rsidRPr="00AE5E52">
        <w:t>Adrabetadex</w:t>
      </w:r>
      <w:proofErr w:type="spellEnd"/>
      <w:r w:rsidRPr="00AE5E52">
        <w:t xml:space="preserve"> has the potential to enter launch with a compelling clinical story in a devastating ultra-rare pediatric disease. Based on current planning assumptions, Beren is preparing for an anticipated August 2026 PDUFA date in infantile-onset Niemann-Pick disease type C, supported by a supplied clinical narrative showing a 71% reduction in mortality risk and a pricing assumption of $39,000 per 900 mg vial administered every two weeks. That translates to approximately </w:t>
      </w:r>
      <w:r w:rsidRPr="00AE5E52">
        <w:rPr>
          <w:b/>
          <w:bCs/>
        </w:rPr>
        <w:t>$1.014 million in annual gross drug exposure per patient</w:t>
      </w:r>
      <w:r w:rsidRPr="00AE5E52">
        <w:t xml:space="preserve"> before administration, pharmacy handling, denial management, and financing costs. [1]</w:t>
      </w:r>
      <w:r>
        <w:t xml:space="preserve"> </w:t>
      </w:r>
      <w:r w:rsidRPr="00AE5E52">
        <w:t xml:space="preserve">That level of clinical and economic significance creates a clear launch imperative: </w:t>
      </w:r>
      <w:r w:rsidRPr="00AE5E52">
        <w:rPr>
          <w:b/>
          <w:bCs/>
        </w:rPr>
        <w:t>centers must be confident they can treat patients without taking unacceptable financial risk.</w:t>
      </w:r>
    </w:p>
    <w:p w14:paraId="116E69C0" w14:textId="77777777" w:rsidR="00AE5E52" w:rsidRPr="00AE5E52" w:rsidRDefault="00AE5E52" w:rsidP="00AE5E52"/>
    <w:p w14:paraId="4CCA3FDC" w14:textId="77777777" w:rsidR="00AE5E52" w:rsidRDefault="00AE5E52" w:rsidP="00AE5E52">
      <w:r w:rsidRPr="00AE5E52">
        <w:t xml:space="preserve">The Provider Net Cost Recovery Model gives Beren a practical way to convert </w:t>
      </w:r>
      <w:proofErr w:type="spellStart"/>
      <w:r w:rsidRPr="00AE5E52">
        <w:t>Adrabetadex’s</w:t>
      </w:r>
      <w:proofErr w:type="spellEnd"/>
      <w:r w:rsidRPr="00AE5E52">
        <w:t xml:space="preserve"> clinical promise into provider adoption readiness. It shows where reimbursement, coding, pass-through status, 340B eligibility, payer controls, and site-of-care rules support treatment, and where they may create friction. In doing so, the model helps Beren identify which centers are most launch-ready, where field reimbursement support is needed, and what conditions must be in place for providers to administer </w:t>
      </w:r>
      <w:proofErr w:type="spellStart"/>
      <w:r w:rsidRPr="00AE5E52">
        <w:t>Adrabetadex</w:t>
      </w:r>
      <w:proofErr w:type="spellEnd"/>
      <w:r w:rsidRPr="00AE5E52">
        <w:t xml:space="preserve"> sustainably.</w:t>
      </w:r>
    </w:p>
    <w:p w14:paraId="4828C41D" w14:textId="77777777" w:rsidR="00AE5E52" w:rsidRPr="00AE5E52" w:rsidRDefault="00AE5E52" w:rsidP="00AE5E52"/>
    <w:tbl>
      <w:tblPr>
        <w:tblW w:w="10152" w:type="dxa"/>
        <w:tblLayout w:type="fixed"/>
        <w:tblLook w:val="04A0" w:firstRow="1" w:lastRow="0" w:firstColumn="1" w:lastColumn="0" w:noHBand="0" w:noVBand="1"/>
      </w:tblPr>
      <w:tblGrid>
        <w:gridCol w:w="10152"/>
      </w:tblGrid>
      <w:tr w:rsidR="000C25E0" w14:paraId="0AB2FBCB" w14:textId="77777777">
        <w:tc>
          <w:tcPr>
            <w:tcW w:w="10152" w:type="dxa"/>
            <w:tcBorders>
              <w:top w:val="single" w:sz="7" w:space="0" w:color="BFD6B4"/>
              <w:left w:val="single" w:sz="7" w:space="0" w:color="BFD6B4"/>
              <w:bottom w:val="single" w:sz="7" w:space="0" w:color="BFD6B4"/>
              <w:right w:val="single" w:sz="7" w:space="0" w:color="BFD6B4"/>
            </w:tcBorders>
            <w:shd w:val="clear" w:color="auto" w:fill="EEF5EA"/>
            <w:tcMar>
              <w:top w:w="85" w:type="dxa"/>
              <w:left w:w="120" w:type="dxa"/>
              <w:bottom w:w="85" w:type="dxa"/>
              <w:right w:w="120" w:type="dxa"/>
            </w:tcMar>
          </w:tcPr>
          <w:bookmarkEnd w:id="0"/>
          <w:p w14:paraId="1A08706F" w14:textId="77777777" w:rsidR="000C25E0" w:rsidRDefault="00AB31C1">
            <w:pPr>
              <w:spacing w:after="40"/>
            </w:pPr>
            <w:r>
              <w:rPr>
                <w:b/>
                <w:color w:val="4E8A2D"/>
                <w:sz w:val="17"/>
              </w:rPr>
              <w:t>Core point</w:t>
            </w:r>
          </w:p>
          <w:p w14:paraId="50CE056D" w14:textId="549A9679" w:rsidR="000C25E0" w:rsidRDefault="00AB31C1">
            <w:pPr>
              <w:spacing w:after="0" w:line="245" w:lineRule="auto"/>
            </w:pPr>
            <w:r>
              <w:rPr>
                <w:sz w:val="17"/>
              </w:rPr>
              <w:t xml:space="preserve">The Provider Net Cost Recovery Model </w:t>
            </w:r>
            <w:r w:rsidR="00D43393">
              <w:rPr>
                <w:sz w:val="17"/>
              </w:rPr>
              <w:t>will</w:t>
            </w:r>
            <w:r>
              <w:rPr>
                <w:sz w:val="17"/>
              </w:rPr>
              <w:t xml:space="preserve"> </w:t>
            </w:r>
            <w:r w:rsidR="00D43393">
              <w:rPr>
                <w:sz w:val="17"/>
              </w:rPr>
              <w:t xml:space="preserve">help ARMs </w:t>
            </w:r>
            <w:r>
              <w:rPr>
                <w:sz w:val="17"/>
              </w:rPr>
              <w:t xml:space="preserve">answer </w:t>
            </w:r>
            <w:r w:rsidR="00D43393">
              <w:rPr>
                <w:sz w:val="17"/>
              </w:rPr>
              <w:t>the key</w:t>
            </w:r>
            <w:r>
              <w:rPr>
                <w:sz w:val="17"/>
              </w:rPr>
              <w:t xml:space="preserve"> operational question: after payment, acquisition cost, coding status, payer friction, denial risk, manufacturer support, and payment timing are applied, does a provider make or lose money treating this patient?</w:t>
            </w:r>
          </w:p>
        </w:tc>
      </w:tr>
    </w:tbl>
    <w:p w14:paraId="0F726261" w14:textId="77777777" w:rsidR="000C25E0" w:rsidRDefault="000C25E0">
      <w:pPr>
        <w:spacing w:after="120"/>
      </w:pPr>
    </w:p>
    <w:p w14:paraId="3234EF97" w14:textId="55F34D2C" w:rsidR="000C25E0" w:rsidRDefault="00D43393">
      <w:pPr>
        <w:keepNext/>
        <w:spacing w:before="200" w:after="80" w:line="245" w:lineRule="auto"/>
      </w:pPr>
      <w:r>
        <w:rPr>
          <w:b/>
          <w:color w:val="4E8A2D"/>
          <w:sz w:val="28"/>
        </w:rPr>
        <w:t>Provider Model Value</w:t>
      </w:r>
    </w:p>
    <w:p w14:paraId="33D85138" w14:textId="77777777" w:rsidR="000C25E0" w:rsidRDefault="00AB31C1">
      <w:r>
        <w:t>Adrabetadex has the risk profile of a high-cost, provider-administered specialty therapy. Adoption will depend not only on payer coverage, but on whether the treating center can execute the full reimbursement pathway.</w:t>
      </w:r>
    </w:p>
    <w:tbl>
      <w:tblPr>
        <w:tblW w:w="10152" w:type="dxa"/>
        <w:tblLayout w:type="fixed"/>
        <w:tblLook w:val="04A0" w:firstRow="1" w:lastRow="0" w:firstColumn="1" w:lastColumn="0" w:noHBand="0" w:noVBand="1"/>
      </w:tblPr>
      <w:tblGrid>
        <w:gridCol w:w="3015"/>
        <w:gridCol w:w="3906"/>
        <w:gridCol w:w="3231"/>
      </w:tblGrid>
      <w:tr w:rsidR="000C25E0" w14:paraId="71F5E56F" w14:textId="77777777">
        <w:trPr>
          <w:tblHeader/>
        </w:trPr>
        <w:tc>
          <w:tcPr>
            <w:tcW w:w="2131"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0CB09143" w14:textId="77777777" w:rsidR="000C25E0" w:rsidRDefault="00AB31C1">
            <w:pPr>
              <w:spacing w:after="0" w:line="240" w:lineRule="auto"/>
            </w:pPr>
            <w:r>
              <w:rPr>
                <w:b/>
                <w:color w:val="4E8A2D"/>
                <w:sz w:val="15"/>
              </w:rPr>
              <w:t>Launch issue</w:t>
            </w:r>
          </w:p>
        </w:tc>
        <w:tc>
          <w:tcPr>
            <w:tcW w:w="439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6CC1687E" w14:textId="77777777" w:rsidR="000C25E0" w:rsidRDefault="00AB31C1">
            <w:pPr>
              <w:spacing w:after="0" w:line="240" w:lineRule="auto"/>
            </w:pPr>
            <w:r>
              <w:rPr>
                <w:b/>
                <w:color w:val="4E8A2D"/>
                <w:sz w:val="15"/>
              </w:rPr>
              <w:t>What the provider sees</w:t>
            </w:r>
          </w:p>
        </w:tc>
        <w:tc>
          <w:tcPr>
            <w:tcW w:w="3629"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52D2899B" w14:textId="77777777" w:rsidR="000C25E0" w:rsidRDefault="00AB31C1">
            <w:pPr>
              <w:spacing w:after="0" w:line="240" w:lineRule="auto"/>
            </w:pPr>
            <w:r>
              <w:rPr>
                <w:b/>
                <w:color w:val="4E8A2D"/>
                <w:sz w:val="15"/>
              </w:rPr>
              <w:t>Why it matters</w:t>
            </w:r>
          </w:p>
        </w:tc>
      </w:tr>
      <w:tr w:rsidR="000C25E0" w14:paraId="1B32E4B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16FC345" w14:textId="77777777" w:rsidR="000C25E0" w:rsidRDefault="00AB31C1">
            <w:pPr>
              <w:spacing w:after="0" w:line="240" w:lineRule="auto"/>
            </w:pPr>
            <w:r>
              <w:rPr>
                <w:b/>
                <w:color w:val="244B25"/>
                <w:sz w:val="15"/>
              </w:rPr>
              <w:t>Acquisition exposure</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7A2EFC8" w14:textId="77777777" w:rsidR="000C25E0" w:rsidRDefault="00AB31C1">
            <w:pPr>
              <w:spacing w:after="0" w:line="240" w:lineRule="auto"/>
            </w:pPr>
            <w:r>
              <w:rPr>
                <w:sz w:val="15"/>
              </w:rPr>
              <w:t>Approximately $39,000 per vial before payment.</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0D58A9A" w14:textId="77777777" w:rsidR="000C25E0" w:rsidRDefault="00AB31C1">
            <w:pPr>
              <w:spacing w:after="0" w:line="240" w:lineRule="auto"/>
            </w:pPr>
            <w:r>
              <w:rPr>
                <w:sz w:val="15"/>
              </w:rPr>
              <w:t>Creates working-capital and inventory risk.</w:t>
            </w:r>
          </w:p>
        </w:tc>
      </w:tr>
      <w:tr w:rsidR="000C25E0" w14:paraId="51F2D1E0"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0A7C8E0F" w14:textId="77777777" w:rsidR="000C25E0" w:rsidRDefault="00AB31C1">
            <w:pPr>
              <w:spacing w:after="0" w:line="240" w:lineRule="auto"/>
            </w:pPr>
            <w:r>
              <w:rPr>
                <w:b/>
                <w:color w:val="244B25"/>
                <w:sz w:val="15"/>
              </w:rPr>
              <w:t>HCPCS uncertainty</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7628B0F" w14:textId="77777777" w:rsidR="000C25E0" w:rsidRDefault="00AB31C1">
            <w:pPr>
              <w:spacing w:after="0" w:line="240" w:lineRule="auto"/>
            </w:pPr>
            <w:r>
              <w:rPr>
                <w:sz w:val="15"/>
              </w:rPr>
              <w:t>Early use may require NOC or temporary coding before a product-specific code.</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A7DAA15" w14:textId="77777777" w:rsidR="000C25E0" w:rsidRDefault="00AB31C1">
            <w:pPr>
              <w:spacing w:after="0" w:line="240" w:lineRule="auto"/>
            </w:pPr>
            <w:r>
              <w:rPr>
                <w:sz w:val="15"/>
              </w:rPr>
              <w:t>Manual billing increases documentation burden and denial risk. [2][4]</w:t>
            </w:r>
          </w:p>
        </w:tc>
      </w:tr>
      <w:tr w:rsidR="000C25E0" w14:paraId="09F3C78E"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B6A6DF1" w14:textId="77777777" w:rsidR="000C25E0" w:rsidRDefault="00AB31C1">
            <w:pPr>
              <w:spacing w:after="0" w:line="240" w:lineRule="auto"/>
            </w:pPr>
            <w:r>
              <w:rPr>
                <w:b/>
                <w:color w:val="244B25"/>
                <w:sz w:val="15"/>
              </w:rPr>
              <w:t>Payment basis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D08A225" w14:textId="77777777" w:rsidR="000C25E0" w:rsidRDefault="00AB31C1">
            <w:pPr>
              <w:spacing w:after="0" w:line="240" w:lineRule="auto"/>
            </w:pPr>
            <w:r>
              <w:rPr>
                <w:sz w:val="15"/>
              </w:rPr>
              <w:t>WAC, AWP, ASP, contractor pricing, or contracted rates may apply depending on site and timing.</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F415F59" w14:textId="77777777" w:rsidR="000C25E0" w:rsidRDefault="00AB31C1">
            <w:pPr>
              <w:spacing w:after="0" w:line="240" w:lineRule="auto"/>
            </w:pPr>
            <w:r>
              <w:rPr>
                <w:sz w:val="15"/>
              </w:rPr>
              <w:t>Small differences can determine whether treatment is profitable or loss-making. [3]</w:t>
            </w:r>
          </w:p>
        </w:tc>
      </w:tr>
      <w:tr w:rsidR="000C25E0" w14:paraId="77116E30"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83B4D8D" w14:textId="77777777" w:rsidR="000C25E0" w:rsidRDefault="00AB31C1">
            <w:pPr>
              <w:spacing w:after="0" w:line="240" w:lineRule="auto"/>
            </w:pPr>
            <w:r>
              <w:rPr>
                <w:b/>
                <w:color w:val="244B25"/>
                <w:sz w:val="15"/>
              </w:rPr>
              <w:t>Payer controls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61B188D" w14:textId="77777777" w:rsidR="000C25E0" w:rsidRDefault="00AB31C1">
            <w:pPr>
              <w:spacing w:after="0" w:line="240" w:lineRule="auto"/>
            </w:pPr>
            <w:r>
              <w:rPr>
                <w:sz w:val="15"/>
              </w:rPr>
              <w:t>Prior authorization, site-of-care limits, and specialty-pharmacy sourcing.</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889BC81" w14:textId="77777777" w:rsidR="000C25E0" w:rsidRDefault="00AB31C1">
            <w:pPr>
              <w:spacing w:after="0" w:line="240" w:lineRule="auto"/>
            </w:pPr>
            <w:r>
              <w:rPr>
                <w:sz w:val="15"/>
              </w:rPr>
              <w:t>Clinical need does not eliminate administrative friction. [11][12]</w:t>
            </w:r>
          </w:p>
        </w:tc>
      </w:tr>
      <w:tr w:rsidR="000C25E0" w14:paraId="09D4B2CB"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2BD12A8" w14:textId="77777777" w:rsidR="000C25E0" w:rsidRDefault="00AB31C1">
            <w:pPr>
              <w:spacing w:after="0" w:line="240" w:lineRule="auto"/>
            </w:pPr>
            <w:r>
              <w:rPr>
                <w:b/>
                <w:color w:val="244B25"/>
                <w:sz w:val="15"/>
              </w:rPr>
              <w:t>Medicaid / 340B complexity</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A81B489" w14:textId="77777777" w:rsidR="000C25E0" w:rsidRDefault="00AB31C1">
            <w:pPr>
              <w:spacing w:after="0" w:line="240" w:lineRule="auto"/>
            </w:pPr>
            <w:r>
              <w:rPr>
                <w:sz w:val="15"/>
              </w:rPr>
              <w:t>EPSDT may support medical necessity, but NDC, state payment, MCO, and duplicate-discount rules still matter.</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CF7CF33" w14:textId="77777777" w:rsidR="000C25E0" w:rsidRDefault="00AB31C1">
            <w:pPr>
              <w:spacing w:after="0" w:line="240" w:lineRule="auto"/>
            </w:pPr>
            <w:r>
              <w:rPr>
                <w:sz w:val="15"/>
              </w:rPr>
              <w:t>Coverage does not guarantee collectible payment. [7][8][9][10]</w:t>
            </w:r>
          </w:p>
        </w:tc>
      </w:tr>
    </w:tbl>
    <w:p w14:paraId="3FDBD25D" w14:textId="77777777" w:rsidR="000C25E0" w:rsidRDefault="000C25E0">
      <w:pPr>
        <w:spacing w:after="100"/>
      </w:pPr>
    </w:p>
    <w:tbl>
      <w:tblPr>
        <w:tblW w:w="10152" w:type="dxa"/>
        <w:tblLayout w:type="fixed"/>
        <w:tblLook w:val="04A0" w:firstRow="1" w:lastRow="0" w:firstColumn="1" w:lastColumn="0" w:noHBand="0" w:noVBand="1"/>
      </w:tblPr>
      <w:tblGrid>
        <w:gridCol w:w="10152"/>
      </w:tblGrid>
      <w:tr w:rsidR="000C25E0" w14:paraId="6305EA86" w14:textId="77777777">
        <w:tc>
          <w:tcPr>
            <w:tcW w:w="10152" w:type="dxa"/>
            <w:tcBorders>
              <w:top w:val="single" w:sz="7" w:space="0" w:color="BFD6B4"/>
              <w:left w:val="single" w:sz="7" w:space="0" w:color="BFD6B4"/>
              <w:bottom w:val="single" w:sz="7" w:space="0" w:color="BFD6B4"/>
              <w:right w:val="single" w:sz="7" w:space="0" w:color="BFD6B4"/>
            </w:tcBorders>
            <w:shd w:val="clear" w:color="auto" w:fill="F6F8F5"/>
            <w:tcMar>
              <w:top w:w="85" w:type="dxa"/>
              <w:left w:w="120" w:type="dxa"/>
              <w:bottom w:w="85" w:type="dxa"/>
              <w:right w:w="120" w:type="dxa"/>
            </w:tcMar>
          </w:tcPr>
          <w:p w14:paraId="6F221199" w14:textId="77777777" w:rsidR="000C25E0" w:rsidRDefault="00AB31C1">
            <w:pPr>
              <w:spacing w:after="40"/>
            </w:pPr>
            <w:r>
              <w:rPr>
                <w:b/>
                <w:color w:val="4E8A2D"/>
                <w:sz w:val="17"/>
              </w:rPr>
              <w:t>Positioning</w:t>
            </w:r>
          </w:p>
          <w:p w14:paraId="090A164B" w14:textId="2B0A175E" w:rsidR="000C25E0" w:rsidRDefault="00AB31C1">
            <w:pPr>
              <w:spacing w:after="0" w:line="245" w:lineRule="auto"/>
            </w:pPr>
            <w:r>
              <w:rPr>
                <w:sz w:val="17"/>
              </w:rPr>
              <w:t>The model is not a price calculator</w:t>
            </w:r>
            <w:r w:rsidR="00D43393">
              <w:rPr>
                <w:sz w:val="17"/>
              </w:rPr>
              <w:t>, but rather a</w:t>
            </w:r>
            <w:r>
              <w:rPr>
                <w:sz w:val="17"/>
              </w:rPr>
              <w:t xml:space="preserve"> reimbursement execution model that connects payer strategy, provider activation, field reimbursement, and finance</w:t>
            </w:r>
            <w:r w:rsidR="00D43393">
              <w:rPr>
                <w:sz w:val="17"/>
              </w:rPr>
              <w:t>.</w:t>
            </w:r>
          </w:p>
        </w:tc>
      </w:tr>
    </w:tbl>
    <w:p w14:paraId="7503081E" w14:textId="77777777" w:rsidR="000C25E0" w:rsidRDefault="000C25E0">
      <w:pPr>
        <w:spacing w:after="120"/>
      </w:pPr>
    </w:p>
    <w:p w14:paraId="105B6741" w14:textId="008B8247" w:rsidR="000C25E0" w:rsidRDefault="00D43393">
      <w:pPr>
        <w:keepNext/>
        <w:spacing w:before="200" w:after="80" w:line="245" w:lineRule="auto"/>
      </w:pPr>
      <w:r>
        <w:rPr>
          <w:b/>
          <w:color w:val="4E8A2D"/>
          <w:sz w:val="28"/>
        </w:rPr>
        <w:t>How</w:t>
      </w:r>
      <w:r w:rsidR="00AB31C1">
        <w:rPr>
          <w:b/>
          <w:color w:val="4E8A2D"/>
          <w:sz w:val="28"/>
        </w:rPr>
        <w:t xml:space="preserve"> Buy-and-Bill Is Different From EAP</w:t>
      </w:r>
    </w:p>
    <w:p w14:paraId="1D94E1F0" w14:textId="77777777" w:rsidR="000C25E0" w:rsidRDefault="00AB31C1">
      <w:r>
        <w:t>Early Access Program experience can mislead launch planning. In an EAP, providers may not carry the same acquisition, billing, or payment risk they face after commercial launch.</w:t>
      </w:r>
    </w:p>
    <w:tbl>
      <w:tblPr>
        <w:tblW w:w="10152" w:type="dxa"/>
        <w:tblLayout w:type="fixed"/>
        <w:tblLook w:val="04A0" w:firstRow="1" w:lastRow="0" w:firstColumn="1" w:lastColumn="0" w:noHBand="0" w:noVBand="1"/>
      </w:tblPr>
      <w:tblGrid>
        <w:gridCol w:w="3041"/>
        <w:gridCol w:w="3877"/>
        <w:gridCol w:w="3234"/>
      </w:tblGrid>
      <w:tr w:rsidR="000C25E0" w14:paraId="66CDBD20" w14:textId="77777777">
        <w:trPr>
          <w:tblHeader/>
        </w:trPr>
        <w:tc>
          <w:tcPr>
            <w:tcW w:w="223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73AC65F0" w14:textId="77777777" w:rsidR="000C25E0" w:rsidRDefault="00AB31C1">
            <w:pPr>
              <w:spacing w:after="0" w:line="240" w:lineRule="auto"/>
            </w:pPr>
            <w:r>
              <w:rPr>
                <w:b/>
                <w:color w:val="4E8A2D"/>
                <w:sz w:val="15"/>
              </w:rPr>
              <w:t>Pathway</w:t>
            </w:r>
          </w:p>
        </w:tc>
        <w:tc>
          <w:tcPr>
            <w:tcW w:w="432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37CF9968" w14:textId="77777777" w:rsidR="000C25E0" w:rsidRDefault="00AB31C1">
            <w:pPr>
              <w:spacing w:after="0" w:line="240" w:lineRule="auto"/>
            </w:pPr>
            <w:r>
              <w:rPr>
                <w:b/>
                <w:color w:val="4E8A2D"/>
                <w:sz w:val="15"/>
              </w:rPr>
              <w:t>Provider economics</w:t>
            </w:r>
          </w:p>
        </w:tc>
        <w:tc>
          <w:tcPr>
            <w:tcW w:w="360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323CEFF1" w14:textId="77777777" w:rsidR="000C25E0" w:rsidRDefault="00AB31C1">
            <w:pPr>
              <w:spacing w:after="0" w:line="240" w:lineRule="auto"/>
            </w:pPr>
            <w:r>
              <w:rPr>
                <w:b/>
                <w:color w:val="4E8A2D"/>
                <w:sz w:val="15"/>
              </w:rPr>
              <w:t>Launch implication</w:t>
            </w:r>
          </w:p>
        </w:tc>
      </w:tr>
      <w:tr w:rsidR="000C25E0" w14:paraId="240FDE07"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DDD66E3" w14:textId="77777777" w:rsidR="000C25E0" w:rsidRDefault="00AB31C1">
            <w:pPr>
              <w:spacing w:after="0" w:line="240" w:lineRule="auto"/>
            </w:pPr>
            <w:r>
              <w:rPr>
                <w:b/>
                <w:color w:val="244B25"/>
                <w:sz w:val="15"/>
              </w:rPr>
              <w:t>EAP</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1C112BE" w14:textId="77777777" w:rsidR="000C25E0" w:rsidRDefault="00AB31C1">
            <w:pPr>
              <w:spacing w:after="0" w:line="240" w:lineRule="auto"/>
            </w:pPr>
            <w:r>
              <w:rPr>
                <w:sz w:val="15"/>
              </w:rPr>
              <w:t>Drug cost and reimbursement exposure may be limited or removed.</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6F8DBAA" w14:textId="77777777" w:rsidR="000C25E0" w:rsidRDefault="00AB31C1">
            <w:pPr>
              <w:spacing w:after="0" w:line="240" w:lineRule="auto"/>
            </w:pPr>
            <w:r>
              <w:rPr>
                <w:sz w:val="15"/>
              </w:rPr>
              <w:t>Treatment experience does not prove commercial adoption readiness.</w:t>
            </w:r>
          </w:p>
        </w:tc>
      </w:tr>
      <w:tr w:rsidR="000C25E0" w14:paraId="58C48B19"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0FC58125" w14:textId="77777777" w:rsidR="000C25E0" w:rsidRDefault="00AB31C1">
            <w:pPr>
              <w:spacing w:after="0" w:line="240" w:lineRule="auto"/>
            </w:pPr>
            <w:r>
              <w:rPr>
                <w:b/>
                <w:color w:val="244B25"/>
                <w:sz w:val="15"/>
              </w:rPr>
              <w:lastRenderedPageBreak/>
              <w:t>Commercial buy-and-bill</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6F830AD" w14:textId="77777777" w:rsidR="000C25E0" w:rsidRDefault="00AB31C1">
            <w:pPr>
              <w:spacing w:after="0" w:line="240" w:lineRule="auto"/>
            </w:pPr>
            <w:r>
              <w:rPr>
                <w:sz w:val="15"/>
              </w:rPr>
              <w:t>Provider acquires the drug, bills payer, waits for reimbursement, and bears denial/payment risk.</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A701439" w14:textId="77777777" w:rsidR="000C25E0" w:rsidRDefault="00AB31C1">
            <w:pPr>
              <w:spacing w:after="0" w:line="240" w:lineRule="auto"/>
            </w:pPr>
            <w:r>
              <w:rPr>
                <w:sz w:val="15"/>
              </w:rPr>
              <w:t>Viable only if payment, denial rate, and days to payment support a positive net position.</w:t>
            </w:r>
          </w:p>
        </w:tc>
      </w:tr>
      <w:tr w:rsidR="000C25E0" w14:paraId="03479D0F"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719275C" w14:textId="77777777" w:rsidR="000C25E0" w:rsidRDefault="00AB31C1">
            <w:pPr>
              <w:spacing w:after="0" w:line="240" w:lineRule="auto"/>
            </w:pPr>
            <w:r>
              <w:rPr>
                <w:b/>
                <w:color w:val="244B25"/>
                <w:sz w:val="15"/>
              </w:rPr>
              <w:t>White-bagging / specialty-pharmacy sourcing</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B07AFC3" w14:textId="77777777" w:rsidR="000C25E0" w:rsidRDefault="00AB31C1">
            <w:pPr>
              <w:spacing w:after="0" w:line="240" w:lineRule="auto"/>
            </w:pPr>
            <w:r>
              <w:rPr>
                <w:sz w:val="15"/>
              </w:rPr>
              <w:t>Specialty pharmacy bills for the drug; provider may bill only administration.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0EEC6A6" w14:textId="77777777" w:rsidR="000C25E0" w:rsidRDefault="00AB31C1">
            <w:pPr>
              <w:spacing w:after="0" w:line="240" w:lineRule="auto"/>
            </w:pPr>
            <w:r>
              <w:rPr>
                <w:sz w:val="15"/>
              </w:rPr>
              <w:t>Drug margin is removed, but operational burden remains. [11]</w:t>
            </w:r>
          </w:p>
        </w:tc>
      </w:tr>
      <w:tr w:rsidR="000C25E0" w14:paraId="60116D97"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D60F840" w14:textId="77777777" w:rsidR="000C25E0" w:rsidRDefault="00AB31C1">
            <w:pPr>
              <w:spacing w:after="0" w:line="240" w:lineRule="auto"/>
            </w:pPr>
            <w:r>
              <w:rPr>
                <w:b/>
                <w:color w:val="244B25"/>
                <w:sz w:val="15"/>
              </w:rPr>
              <w:t>Site-of-care steering</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C20AB1C" w14:textId="77777777" w:rsidR="000C25E0" w:rsidRDefault="00AB31C1">
            <w:pPr>
              <w:spacing w:after="0" w:line="240" w:lineRule="auto"/>
            </w:pPr>
            <w:r>
              <w:rPr>
                <w:sz w:val="15"/>
              </w:rPr>
              <w:t>Payer may restrict where the drug may be administered.</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C512551" w14:textId="77777777" w:rsidR="000C25E0" w:rsidRDefault="00AB31C1">
            <w:pPr>
              <w:spacing w:after="0" w:line="240" w:lineRule="auto"/>
            </w:pPr>
            <w:r>
              <w:rPr>
                <w:sz w:val="15"/>
              </w:rPr>
              <w:t>COE strategy must match clinical capability with payable site-of-care rules. [12]</w:t>
            </w:r>
          </w:p>
        </w:tc>
      </w:tr>
    </w:tbl>
    <w:p w14:paraId="488CF9A2" w14:textId="77777777" w:rsidR="00D43393" w:rsidRDefault="00D43393"/>
    <w:p w14:paraId="5A2E9B3F" w14:textId="67DA9B84" w:rsidR="000C25E0" w:rsidRDefault="00AB31C1">
      <w:r>
        <w:t xml:space="preserve">UnitedHealthcare's public sourcing materials </w:t>
      </w:r>
      <w:r w:rsidR="00D43393">
        <w:t xml:space="preserve">for intrathecal administration </w:t>
      </w:r>
      <w:r>
        <w:t>describe a pathway where the specialty pharmacy bills the payer for the drug and outpatient providers may only seek reimbursement for administration, illustrating how commercial payer rules can remove provider drug economics from the treatment pathway. [11]</w:t>
      </w:r>
    </w:p>
    <w:p w14:paraId="4906B11A" w14:textId="6F6F81C7" w:rsidR="000C25E0" w:rsidRDefault="00AB31C1">
      <w:pPr>
        <w:keepNext/>
        <w:spacing w:before="200" w:after="80" w:line="245" w:lineRule="auto"/>
      </w:pPr>
      <w:r>
        <w:rPr>
          <w:b/>
          <w:color w:val="4E8A2D"/>
          <w:sz w:val="28"/>
        </w:rPr>
        <w:t xml:space="preserve">What the Model </w:t>
      </w:r>
      <w:r w:rsidR="00D43393">
        <w:rPr>
          <w:b/>
          <w:color w:val="4E8A2D"/>
          <w:sz w:val="28"/>
        </w:rPr>
        <w:t>Will Provide and</w:t>
      </w:r>
      <w:r>
        <w:rPr>
          <w:b/>
          <w:color w:val="4E8A2D"/>
          <w:sz w:val="28"/>
        </w:rPr>
        <w:t xml:space="preserve"> Calculate</w:t>
      </w:r>
    </w:p>
    <w:p w14:paraId="20C51DE5" w14:textId="77777777" w:rsidR="000C25E0" w:rsidRDefault="00AB31C1">
      <w:r>
        <w:t>The model should calculate provider economics by scenario, payer type, site of care, and channel.</w:t>
      </w:r>
    </w:p>
    <w:tbl>
      <w:tblPr>
        <w:tblW w:w="10152" w:type="dxa"/>
        <w:tblLayout w:type="fixed"/>
        <w:tblLook w:val="04A0" w:firstRow="1" w:lastRow="0" w:firstColumn="1" w:lastColumn="0" w:noHBand="0" w:noVBand="1"/>
      </w:tblPr>
      <w:tblGrid>
        <w:gridCol w:w="2967"/>
        <w:gridCol w:w="4218"/>
        <w:gridCol w:w="2967"/>
      </w:tblGrid>
      <w:tr w:rsidR="000C25E0" w14:paraId="446A6902" w14:textId="77777777">
        <w:trPr>
          <w:tblHeader/>
        </w:trPr>
        <w:tc>
          <w:tcPr>
            <w:tcW w:w="216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45189FCD" w14:textId="77777777" w:rsidR="000C25E0" w:rsidRDefault="00AB31C1">
            <w:pPr>
              <w:spacing w:after="0" w:line="240" w:lineRule="auto"/>
            </w:pPr>
            <w:r>
              <w:rPr>
                <w:b/>
                <w:color w:val="4E8A2D"/>
                <w:sz w:val="14"/>
              </w:rPr>
              <w:t>Model domain</w:t>
            </w:r>
          </w:p>
        </w:tc>
        <w:tc>
          <w:tcPr>
            <w:tcW w:w="4824"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5CB74B7F" w14:textId="77777777" w:rsidR="000C25E0" w:rsidRDefault="00AB31C1">
            <w:pPr>
              <w:spacing w:after="0" w:line="240" w:lineRule="auto"/>
            </w:pPr>
            <w:r>
              <w:rPr>
                <w:b/>
                <w:color w:val="4E8A2D"/>
                <w:sz w:val="14"/>
              </w:rPr>
              <w:t>Inputs</w:t>
            </w:r>
          </w:p>
        </w:tc>
        <w:tc>
          <w:tcPr>
            <w:tcW w:w="3168"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7ED820AC" w14:textId="77777777" w:rsidR="000C25E0" w:rsidRDefault="00AB31C1">
            <w:pPr>
              <w:spacing w:after="0" w:line="240" w:lineRule="auto"/>
            </w:pPr>
            <w:r>
              <w:rPr>
                <w:b/>
                <w:color w:val="4E8A2D"/>
                <w:sz w:val="14"/>
              </w:rPr>
              <w:t>Output</w:t>
            </w:r>
          </w:p>
        </w:tc>
      </w:tr>
      <w:tr w:rsidR="000C25E0" w14:paraId="45FD08D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14B5B9A" w14:textId="77777777" w:rsidR="000C25E0" w:rsidRDefault="00AB31C1">
            <w:pPr>
              <w:spacing w:after="0" w:line="240" w:lineRule="auto"/>
            </w:pPr>
            <w:r>
              <w:rPr>
                <w:b/>
                <w:color w:val="244B25"/>
                <w:sz w:val="14"/>
              </w:rPr>
              <w:t>Product and administration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305EFAD" w14:textId="77777777" w:rsidR="000C25E0" w:rsidRDefault="00AB31C1">
            <w:pPr>
              <w:spacing w:after="0" w:line="240" w:lineRule="auto"/>
            </w:pPr>
            <w:r>
              <w:rPr>
                <w:sz w:val="14"/>
              </w:rPr>
              <w:t>Dose, WAC, vial size, dosing frequency, procedure assumptions, pharmacy handling, labor, overhead.</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5C87354" w14:textId="77777777" w:rsidR="000C25E0" w:rsidRDefault="00AB31C1">
            <w:pPr>
              <w:spacing w:after="0" w:line="240" w:lineRule="auto"/>
            </w:pPr>
            <w:r>
              <w:rPr>
                <w:sz w:val="14"/>
              </w:rPr>
              <w:t>Per-dose and annual economics.</w:t>
            </w:r>
          </w:p>
        </w:tc>
      </w:tr>
      <w:tr w:rsidR="000C25E0" w14:paraId="268DDB18"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748770C" w14:textId="77777777" w:rsidR="000C25E0" w:rsidRDefault="00AB31C1">
            <w:pPr>
              <w:spacing w:after="0" w:line="240" w:lineRule="auto"/>
            </w:pPr>
            <w:r>
              <w:rPr>
                <w:b/>
                <w:color w:val="244B25"/>
                <w:sz w:val="14"/>
              </w:rPr>
              <w:t>Coding and payment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20BCC84" w14:textId="77777777" w:rsidR="000C25E0" w:rsidRDefault="00AB31C1">
            <w:pPr>
              <w:spacing w:after="0" w:line="240" w:lineRule="auto"/>
            </w:pPr>
            <w:r>
              <w:rPr>
                <w:sz w:val="14"/>
              </w:rPr>
              <w:t>HCPCS status, NOC/C-code/J-code pathway, OPPS pass-through, WAC/AWP/ASP basis, allowed amount.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9B1D6E5" w14:textId="77777777" w:rsidR="000C25E0" w:rsidRDefault="00AB31C1">
            <w:pPr>
              <w:spacing w:after="0" w:line="240" w:lineRule="auto"/>
            </w:pPr>
            <w:r>
              <w:rPr>
                <w:sz w:val="14"/>
              </w:rPr>
              <w:t>Expected drug payment and claim risk.</w:t>
            </w:r>
          </w:p>
        </w:tc>
      </w:tr>
      <w:tr w:rsidR="000C25E0" w14:paraId="47154B99"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B1B01A2" w14:textId="77777777" w:rsidR="000C25E0" w:rsidRDefault="00AB31C1">
            <w:pPr>
              <w:spacing w:after="0" w:line="240" w:lineRule="auto"/>
            </w:pPr>
            <w:r>
              <w:rPr>
                <w:b/>
                <w:color w:val="244B25"/>
                <w:sz w:val="14"/>
              </w:rPr>
              <w:t>Commercial medical benefit</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61A7C7E" w14:textId="77777777" w:rsidR="000C25E0" w:rsidRDefault="00AB31C1">
            <w:pPr>
              <w:spacing w:after="0" w:line="240" w:lineRule="auto"/>
            </w:pPr>
            <w:r>
              <w:rPr>
                <w:sz w:val="14"/>
              </w:rPr>
              <w:t>Prior authorization, white-bagging, site-of-care rules, denial rate, appeal recovery, days to payment.</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126C30C" w14:textId="77777777" w:rsidR="000C25E0" w:rsidRDefault="00AB31C1">
            <w:pPr>
              <w:spacing w:after="0" w:line="240" w:lineRule="auto"/>
            </w:pPr>
            <w:r>
              <w:rPr>
                <w:sz w:val="14"/>
              </w:rPr>
              <w:t>Buy-and-bill viability.</w:t>
            </w:r>
          </w:p>
        </w:tc>
      </w:tr>
      <w:tr w:rsidR="000C25E0" w14:paraId="1A476555"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701F4D1" w14:textId="77777777" w:rsidR="000C25E0" w:rsidRDefault="00AB31C1">
            <w:pPr>
              <w:spacing w:after="0" w:line="240" w:lineRule="auto"/>
            </w:pPr>
            <w:r>
              <w:rPr>
                <w:b/>
                <w:color w:val="244B25"/>
                <w:sz w:val="14"/>
              </w:rPr>
              <w:t>Medicaid</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119B8C3" w14:textId="77777777" w:rsidR="000C25E0" w:rsidRDefault="00AB31C1">
            <w:pPr>
              <w:spacing w:after="0" w:line="240" w:lineRule="auto"/>
            </w:pPr>
            <w:r>
              <w:rPr>
                <w:sz w:val="14"/>
              </w:rPr>
              <w:t>EPSDT relevance, FFS vs MCO, state PAD methodology, NDC capture, utilization reporting.</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2D1EB95" w14:textId="77777777" w:rsidR="000C25E0" w:rsidRDefault="00AB31C1">
            <w:pPr>
              <w:spacing w:after="0" w:line="240" w:lineRule="auto"/>
            </w:pPr>
            <w:r>
              <w:rPr>
                <w:sz w:val="14"/>
              </w:rPr>
              <w:t>Whether medical necessity translates into payment.</w:t>
            </w:r>
          </w:p>
        </w:tc>
      </w:tr>
      <w:tr w:rsidR="000C25E0" w14:paraId="0719230C"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0073C2E" w14:textId="77777777" w:rsidR="000C25E0" w:rsidRDefault="00AB31C1">
            <w:pPr>
              <w:spacing w:after="0" w:line="240" w:lineRule="auto"/>
            </w:pPr>
            <w:r>
              <w:rPr>
                <w:b/>
                <w:color w:val="244B25"/>
                <w:sz w:val="14"/>
              </w:rPr>
              <w:t>340B</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09C836E" w14:textId="77777777" w:rsidR="000C25E0" w:rsidRDefault="00AB31C1">
            <w:pPr>
              <w:spacing w:after="0" w:line="240" w:lineRule="auto"/>
            </w:pPr>
            <w:r>
              <w:rPr>
                <w:sz w:val="14"/>
              </w:rPr>
              <w:t>Eligibility, estimated acquisition cost, carve-in/out posture, duplicate-discount controls.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F6B012E" w14:textId="77777777" w:rsidR="000C25E0" w:rsidRDefault="00AB31C1">
            <w:pPr>
              <w:spacing w:after="0" w:line="240" w:lineRule="auto"/>
            </w:pPr>
            <w:r>
              <w:rPr>
                <w:sz w:val="14"/>
              </w:rPr>
              <w:t>Whether the center has a structural acquisition advantage.</w:t>
            </w:r>
          </w:p>
        </w:tc>
      </w:tr>
      <w:tr w:rsidR="000C25E0" w14:paraId="0CDDA8B7"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A6234F6" w14:textId="77777777" w:rsidR="000C25E0" w:rsidRDefault="00AB31C1">
            <w:pPr>
              <w:spacing w:after="0" w:line="240" w:lineRule="auto"/>
            </w:pPr>
            <w:r>
              <w:rPr>
                <w:b/>
                <w:color w:val="244B25"/>
                <w:sz w:val="14"/>
              </w:rPr>
              <w:t>Manufacturer support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496A4A5" w14:textId="77777777" w:rsidR="000C25E0" w:rsidRDefault="00AB31C1">
            <w:pPr>
              <w:spacing w:after="0" w:line="240" w:lineRule="auto"/>
            </w:pPr>
            <w:r>
              <w:rPr>
                <w:sz w:val="14"/>
              </w:rPr>
              <w:t>Acquisition support, bridge logic, appeal support, prompt-pay assumptions.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23741A2" w14:textId="77777777" w:rsidR="000C25E0" w:rsidRDefault="00AB31C1">
            <w:pPr>
              <w:spacing w:after="0" w:line="240" w:lineRule="auto"/>
            </w:pPr>
            <w:r>
              <w:rPr>
                <w:sz w:val="14"/>
              </w:rPr>
              <w:t>Break-even support threshold.</w:t>
            </w:r>
          </w:p>
        </w:tc>
      </w:tr>
    </w:tbl>
    <w:p w14:paraId="2E9E252F" w14:textId="77777777" w:rsidR="000C25E0" w:rsidRDefault="000C25E0">
      <w:pPr>
        <w:spacing w:after="100"/>
      </w:pPr>
    </w:p>
    <w:p w14:paraId="04055877" w14:textId="33DE5B89" w:rsidR="000C25E0" w:rsidRDefault="00AB31C1">
      <w:pPr>
        <w:keepNext/>
        <w:spacing w:before="200" w:after="80" w:line="245" w:lineRule="auto"/>
      </w:pPr>
      <w:r>
        <w:rPr>
          <w:b/>
          <w:color w:val="4E8A2D"/>
          <w:sz w:val="28"/>
        </w:rPr>
        <w:t>Core Formula</w:t>
      </w:r>
    </w:p>
    <w:p w14:paraId="5C1F7F48" w14:textId="77777777" w:rsidR="000C25E0" w:rsidRDefault="00AB31C1">
      <w:r>
        <w:t>The model should use one operating equation across all scenarios:</w:t>
      </w:r>
    </w:p>
    <w:tbl>
      <w:tblPr>
        <w:tblW w:w="10152" w:type="dxa"/>
        <w:tblLayout w:type="fixed"/>
        <w:tblLook w:val="04A0" w:firstRow="1" w:lastRow="0" w:firstColumn="1" w:lastColumn="0" w:noHBand="0" w:noVBand="1"/>
      </w:tblPr>
      <w:tblGrid>
        <w:gridCol w:w="10152"/>
      </w:tblGrid>
      <w:tr w:rsidR="000C25E0" w14:paraId="11DD3349" w14:textId="77777777">
        <w:tc>
          <w:tcPr>
            <w:tcW w:w="10152" w:type="dxa"/>
            <w:tcBorders>
              <w:top w:val="single" w:sz="7" w:space="0" w:color="BFD6B4"/>
              <w:left w:val="single" w:sz="7" w:space="0" w:color="BFD6B4"/>
              <w:bottom w:val="single" w:sz="7" w:space="0" w:color="BFD6B4"/>
              <w:right w:val="single" w:sz="7" w:space="0" w:color="BFD6B4"/>
            </w:tcBorders>
            <w:shd w:val="clear" w:color="auto" w:fill="F6F8F5"/>
            <w:tcMar>
              <w:top w:w="85" w:type="dxa"/>
              <w:left w:w="120" w:type="dxa"/>
              <w:bottom w:w="85" w:type="dxa"/>
              <w:right w:w="120" w:type="dxa"/>
            </w:tcMar>
          </w:tcPr>
          <w:p w14:paraId="3F62D3E2" w14:textId="77777777" w:rsidR="000C25E0" w:rsidRDefault="00AB31C1">
            <w:pPr>
              <w:spacing w:after="40"/>
            </w:pPr>
            <w:r>
              <w:rPr>
                <w:b/>
                <w:color w:val="4E8A2D"/>
                <w:sz w:val="17"/>
              </w:rPr>
              <w:t>Expected provider net position</w:t>
            </w:r>
          </w:p>
          <w:p w14:paraId="4D676010" w14:textId="77777777" w:rsidR="000C25E0" w:rsidRDefault="00AB31C1">
            <w:pPr>
              <w:spacing w:after="0" w:line="245" w:lineRule="auto"/>
            </w:pPr>
            <w:r>
              <w:rPr>
                <w:sz w:val="17"/>
              </w:rPr>
              <w:t>Drug payment + administration revenue + provider-facing support - drug acquisition cost - administration and handling cost - denial/rework cost - payment-delay carrying cost.</w:t>
            </w:r>
          </w:p>
        </w:tc>
      </w:tr>
    </w:tbl>
    <w:p w14:paraId="6E053974" w14:textId="77777777" w:rsidR="000C25E0" w:rsidRDefault="000C25E0">
      <w:pPr>
        <w:spacing w:after="120"/>
      </w:pPr>
    </w:p>
    <w:tbl>
      <w:tblPr>
        <w:tblW w:w="10152" w:type="dxa"/>
        <w:tblLayout w:type="fixed"/>
        <w:tblLook w:val="04A0" w:firstRow="1" w:lastRow="0" w:firstColumn="1" w:lastColumn="0" w:noHBand="0" w:noVBand="1"/>
      </w:tblPr>
      <w:tblGrid>
        <w:gridCol w:w="4204"/>
        <w:gridCol w:w="5948"/>
      </w:tblGrid>
      <w:tr w:rsidR="000C25E0" w14:paraId="6696A195" w14:textId="77777777">
        <w:trPr>
          <w:tblHeader/>
        </w:trPr>
        <w:tc>
          <w:tcPr>
            <w:tcW w:w="295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597A1159" w14:textId="77777777" w:rsidR="000C25E0" w:rsidRDefault="00AB31C1">
            <w:pPr>
              <w:spacing w:after="0" w:line="240" w:lineRule="auto"/>
            </w:pPr>
            <w:r>
              <w:rPr>
                <w:b/>
                <w:color w:val="4E8A2D"/>
                <w:sz w:val="15"/>
              </w:rPr>
              <w:t>Component</w:t>
            </w:r>
          </w:p>
        </w:tc>
        <w:tc>
          <w:tcPr>
            <w:tcW w:w="720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3AF86710" w14:textId="77777777" w:rsidR="000C25E0" w:rsidRDefault="00AB31C1">
            <w:pPr>
              <w:spacing w:after="0" w:line="240" w:lineRule="auto"/>
            </w:pPr>
            <w:r>
              <w:rPr>
                <w:b/>
                <w:color w:val="4E8A2D"/>
                <w:sz w:val="15"/>
              </w:rPr>
              <w:t>Plain-English meaning</w:t>
            </w:r>
          </w:p>
        </w:tc>
      </w:tr>
      <w:tr w:rsidR="000C25E0" w14:paraId="79042053"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BC1C9FD" w14:textId="77777777" w:rsidR="000C25E0" w:rsidRDefault="00AB31C1">
            <w:pPr>
              <w:spacing w:after="0" w:line="240" w:lineRule="auto"/>
            </w:pPr>
            <w:r>
              <w:rPr>
                <w:b/>
                <w:color w:val="244B25"/>
                <w:sz w:val="15"/>
              </w:rPr>
              <w:t>Drug payment</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46EC83A" w14:textId="77777777" w:rsidR="000C25E0" w:rsidRDefault="00AB31C1">
            <w:pPr>
              <w:spacing w:after="0" w:line="240" w:lineRule="auto"/>
            </w:pPr>
            <w:r>
              <w:rPr>
                <w:sz w:val="15"/>
              </w:rPr>
              <w:t>What the payer allows for the drug claim.</w:t>
            </w:r>
          </w:p>
        </w:tc>
      </w:tr>
      <w:tr w:rsidR="000C25E0" w14:paraId="2B258FDE"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E590664" w14:textId="77777777" w:rsidR="000C25E0" w:rsidRDefault="00AB31C1">
            <w:pPr>
              <w:spacing w:after="0" w:line="240" w:lineRule="auto"/>
            </w:pPr>
            <w:r>
              <w:rPr>
                <w:b/>
                <w:color w:val="244B25"/>
                <w:sz w:val="15"/>
              </w:rPr>
              <w:t>Administration revenue</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856F5EF" w14:textId="77777777" w:rsidR="000C25E0" w:rsidRDefault="00AB31C1">
            <w:pPr>
              <w:spacing w:after="0" w:line="240" w:lineRule="auto"/>
            </w:pPr>
            <w:r>
              <w:rPr>
                <w:sz w:val="15"/>
              </w:rPr>
              <w:t>Payment for the procedure and related services.</w:t>
            </w:r>
          </w:p>
        </w:tc>
      </w:tr>
      <w:tr w:rsidR="000C25E0" w14:paraId="498C2AB2"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B0CFA69" w14:textId="77777777" w:rsidR="000C25E0" w:rsidRDefault="00AB31C1">
            <w:pPr>
              <w:spacing w:after="0" w:line="240" w:lineRule="auto"/>
            </w:pPr>
            <w:r>
              <w:rPr>
                <w:b/>
                <w:color w:val="244B25"/>
                <w:sz w:val="15"/>
              </w:rPr>
              <w:t>Acquisition cost</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BEF61EB" w14:textId="77777777" w:rsidR="000C25E0" w:rsidRDefault="00AB31C1">
            <w:pPr>
              <w:spacing w:after="0" w:line="240" w:lineRule="auto"/>
            </w:pPr>
            <w:r>
              <w:rPr>
                <w:sz w:val="15"/>
              </w:rPr>
              <w:t>What the provider pays for the drug, or avoids paying under white-bagging.</w:t>
            </w:r>
          </w:p>
        </w:tc>
      </w:tr>
      <w:tr w:rsidR="000C25E0" w14:paraId="463A728B"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14EBC97" w14:textId="77777777" w:rsidR="000C25E0" w:rsidRDefault="00AB31C1">
            <w:pPr>
              <w:spacing w:after="0" w:line="240" w:lineRule="auto"/>
            </w:pPr>
            <w:r>
              <w:rPr>
                <w:b/>
                <w:color w:val="244B25"/>
                <w:sz w:val="15"/>
              </w:rPr>
              <w:t>Denial / rework cost</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4A5C319" w14:textId="77777777" w:rsidR="000C25E0" w:rsidRDefault="00AB31C1">
            <w:pPr>
              <w:spacing w:after="0" w:line="240" w:lineRule="auto"/>
            </w:pPr>
            <w:r>
              <w:rPr>
                <w:sz w:val="15"/>
              </w:rPr>
              <w:t>Expected administrative burden and revenue leakage.</w:t>
            </w:r>
          </w:p>
        </w:tc>
      </w:tr>
      <w:tr w:rsidR="000C25E0" w14:paraId="1FB4C24F"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B491DE1" w14:textId="77777777" w:rsidR="000C25E0" w:rsidRDefault="00AB31C1">
            <w:pPr>
              <w:spacing w:after="0" w:line="240" w:lineRule="auto"/>
            </w:pPr>
            <w:r>
              <w:rPr>
                <w:b/>
                <w:color w:val="244B25"/>
                <w:sz w:val="15"/>
              </w:rPr>
              <w:t>Carrying cost</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F0C2358" w14:textId="77777777" w:rsidR="000C25E0" w:rsidRDefault="00AB31C1">
            <w:pPr>
              <w:spacing w:after="0" w:line="240" w:lineRule="auto"/>
            </w:pPr>
            <w:r>
              <w:rPr>
                <w:sz w:val="15"/>
              </w:rPr>
              <w:t>Financing cost while waiting for reimbursement.</w:t>
            </w:r>
          </w:p>
        </w:tc>
      </w:tr>
      <w:tr w:rsidR="000C25E0" w14:paraId="0BE9FBC7"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48F1448" w14:textId="77777777" w:rsidR="000C25E0" w:rsidRDefault="00AB31C1">
            <w:pPr>
              <w:spacing w:after="0" w:line="240" w:lineRule="auto"/>
            </w:pPr>
            <w:r>
              <w:rPr>
                <w:b/>
                <w:color w:val="244B25"/>
                <w:sz w:val="15"/>
              </w:rPr>
              <w:t>Break-even support</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00A0837" w14:textId="77777777" w:rsidR="000C25E0" w:rsidRDefault="00AB31C1">
            <w:pPr>
              <w:spacing w:after="0" w:line="240" w:lineRule="auto"/>
            </w:pPr>
            <w:r>
              <w:rPr>
                <w:sz w:val="15"/>
              </w:rPr>
              <w:t>Support needed to prevent provider loss.</w:t>
            </w:r>
          </w:p>
        </w:tc>
      </w:tr>
    </w:tbl>
    <w:p w14:paraId="2A6CB3F2" w14:textId="77777777" w:rsidR="000C25E0" w:rsidRDefault="000C25E0">
      <w:pPr>
        <w:spacing w:after="100"/>
      </w:pPr>
    </w:p>
    <w:p w14:paraId="53D3BC83" w14:textId="77777777" w:rsidR="00AE5E52" w:rsidRDefault="00AE5E52">
      <w:pPr>
        <w:spacing w:after="100"/>
      </w:pPr>
    </w:p>
    <w:p w14:paraId="2DACCA5A" w14:textId="77777777" w:rsidR="00AE5E52" w:rsidRDefault="00AE5E52">
      <w:pPr>
        <w:spacing w:after="100"/>
      </w:pPr>
    </w:p>
    <w:p w14:paraId="7E9404D6" w14:textId="77777777" w:rsidR="00AE5E52" w:rsidRDefault="00AE5E52">
      <w:pPr>
        <w:spacing w:after="100"/>
      </w:pPr>
    </w:p>
    <w:p w14:paraId="50D6DFEF" w14:textId="77777777" w:rsidR="00AE5E52" w:rsidRDefault="00AE5E52">
      <w:pPr>
        <w:spacing w:after="100"/>
      </w:pPr>
    </w:p>
    <w:p w14:paraId="34C39DC3" w14:textId="77777777" w:rsidR="00AE5E52" w:rsidRDefault="00AE5E52">
      <w:pPr>
        <w:spacing w:after="100"/>
      </w:pPr>
    </w:p>
    <w:p w14:paraId="32DA1C8C" w14:textId="77777777" w:rsidR="00AE5E52" w:rsidRDefault="00AE5E52">
      <w:pPr>
        <w:spacing w:after="100"/>
      </w:pPr>
    </w:p>
    <w:p w14:paraId="54E6B86A" w14:textId="77777777" w:rsidR="00AE5E52" w:rsidRDefault="00AE5E52">
      <w:pPr>
        <w:spacing w:after="100"/>
      </w:pPr>
    </w:p>
    <w:p w14:paraId="27401CAA" w14:textId="199B4E51" w:rsidR="000C25E0" w:rsidRDefault="00AB31C1">
      <w:pPr>
        <w:keepNext/>
        <w:spacing w:before="200" w:after="80" w:line="245" w:lineRule="auto"/>
      </w:pPr>
      <w:r>
        <w:rPr>
          <w:b/>
          <w:color w:val="4E8A2D"/>
          <w:sz w:val="28"/>
        </w:rPr>
        <w:t>Coding and Pass-Through Timing</w:t>
      </w:r>
    </w:p>
    <w:p w14:paraId="61985FC0" w14:textId="77777777" w:rsidR="000C25E0" w:rsidRDefault="00AB31C1">
      <w:r>
        <w:t>Coding and pass-through should be modeled as separate but related adoption drivers.</w:t>
      </w:r>
    </w:p>
    <w:tbl>
      <w:tblPr>
        <w:tblW w:w="10152" w:type="dxa"/>
        <w:tblLayout w:type="fixed"/>
        <w:tblLook w:val="04A0" w:firstRow="1" w:lastRow="0" w:firstColumn="1" w:lastColumn="0" w:noHBand="0" w:noVBand="1"/>
      </w:tblPr>
      <w:tblGrid>
        <w:gridCol w:w="2863"/>
        <w:gridCol w:w="4427"/>
        <w:gridCol w:w="2862"/>
      </w:tblGrid>
      <w:tr w:rsidR="000C25E0" w14:paraId="3FC57DC9" w14:textId="77777777">
        <w:trPr>
          <w:tblHeader/>
        </w:trPr>
        <w:tc>
          <w:tcPr>
            <w:tcW w:w="1944"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2D9E3938" w14:textId="77777777" w:rsidR="000C25E0" w:rsidRDefault="00AB31C1">
            <w:pPr>
              <w:spacing w:after="0" w:line="240" w:lineRule="auto"/>
            </w:pPr>
            <w:r>
              <w:rPr>
                <w:b/>
                <w:color w:val="4E8A2D"/>
                <w:sz w:val="14"/>
              </w:rPr>
              <w:t>Timing step</w:t>
            </w:r>
          </w:p>
        </w:tc>
        <w:tc>
          <w:tcPr>
            <w:tcW w:w="5256"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2A05E579" w14:textId="77777777" w:rsidR="000C25E0" w:rsidRDefault="00AB31C1">
            <w:pPr>
              <w:spacing w:after="0" w:line="240" w:lineRule="auto"/>
            </w:pPr>
            <w:r>
              <w:rPr>
                <w:b/>
                <w:color w:val="4E8A2D"/>
                <w:sz w:val="14"/>
              </w:rPr>
              <w:t>Fact / planning point</w:t>
            </w:r>
          </w:p>
        </w:tc>
        <w:tc>
          <w:tcPr>
            <w:tcW w:w="295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3F411B6A" w14:textId="77777777" w:rsidR="000C25E0" w:rsidRDefault="00AB31C1">
            <w:pPr>
              <w:spacing w:after="0" w:line="240" w:lineRule="auto"/>
            </w:pPr>
            <w:r>
              <w:rPr>
                <w:b/>
                <w:color w:val="4E8A2D"/>
                <w:sz w:val="14"/>
              </w:rPr>
              <w:t>Model implication</w:t>
            </w:r>
          </w:p>
        </w:tc>
      </w:tr>
      <w:tr w:rsidR="000C25E0" w14:paraId="6B939BA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6775E6A" w14:textId="77777777" w:rsidR="000C25E0" w:rsidRDefault="00AB31C1">
            <w:pPr>
              <w:spacing w:after="0" w:line="240" w:lineRule="auto"/>
            </w:pPr>
            <w:r>
              <w:rPr>
                <w:b/>
                <w:color w:val="244B25"/>
                <w:sz w:val="14"/>
              </w:rPr>
              <w:t>PDUFA timing</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C6DCC8A" w14:textId="77777777" w:rsidR="000C25E0" w:rsidRDefault="00AB31C1">
            <w:pPr>
              <w:spacing w:after="0" w:line="240" w:lineRule="auto"/>
            </w:pPr>
            <w:r>
              <w:rPr>
                <w:sz w:val="14"/>
              </w:rPr>
              <w:t>August 2026 is a client-supplied planning assumption. [1]</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B4CC7A4" w14:textId="77777777" w:rsidR="000C25E0" w:rsidRDefault="00AB31C1">
            <w:pPr>
              <w:spacing w:after="0" w:line="240" w:lineRule="auto"/>
            </w:pPr>
            <w:r>
              <w:rPr>
                <w:sz w:val="14"/>
              </w:rPr>
              <w:t>Build launch scenarios around early coding uncertainty.</w:t>
            </w:r>
          </w:p>
        </w:tc>
      </w:tr>
      <w:tr w:rsidR="000C25E0" w14:paraId="3CBDDD5C"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8C6E435" w14:textId="77777777" w:rsidR="000C25E0" w:rsidRDefault="00AB31C1">
            <w:pPr>
              <w:spacing w:after="0" w:line="240" w:lineRule="auto"/>
            </w:pPr>
            <w:r>
              <w:rPr>
                <w:b/>
                <w:color w:val="244B25"/>
                <w:sz w:val="14"/>
              </w:rPr>
              <w:t>HCPCS Level II cycle</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12D81E0" w14:textId="77777777" w:rsidR="000C25E0" w:rsidRDefault="00AB31C1">
            <w:pPr>
              <w:spacing w:after="0" w:line="240" w:lineRule="auto"/>
            </w:pPr>
            <w:r>
              <w:rPr>
                <w:sz w:val="14"/>
              </w:rPr>
              <w:t>CMS lists drug and biological product application deadlines as the first business day of each quarter: January, April, July, and October. [2]</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9DC1FD3" w14:textId="77777777" w:rsidR="000C25E0" w:rsidRDefault="00AB31C1">
            <w:pPr>
              <w:spacing w:after="0" w:line="240" w:lineRule="auto"/>
            </w:pPr>
            <w:r>
              <w:rPr>
                <w:sz w:val="14"/>
              </w:rPr>
              <w:t>Test when a product-specific J-code could become available.</w:t>
            </w:r>
          </w:p>
        </w:tc>
      </w:tr>
      <w:tr w:rsidR="000C25E0" w14:paraId="4066555A"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AE1E7FD" w14:textId="77777777" w:rsidR="000C25E0" w:rsidRDefault="00AB31C1">
            <w:pPr>
              <w:spacing w:after="0" w:line="240" w:lineRule="auto"/>
            </w:pPr>
            <w:r>
              <w:rPr>
                <w:b/>
                <w:color w:val="244B25"/>
                <w:sz w:val="14"/>
              </w:rPr>
              <w:t>HCPCS limitation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78DBF63" w14:textId="77777777" w:rsidR="000C25E0" w:rsidRDefault="00AB31C1">
            <w:pPr>
              <w:spacing w:after="0" w:line="240" w:lineRule="auto"/>
            </w:pPr>
            <w:r>
              <w:rPr>
                <w:sz w:val="14"/>
              </w:rPr>
              <w:t>CMS states HCPCS coding does not itself determine coverage or payment. [2]</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3F3F0B7" w14:textId="77777777" w:rsidR="000C25E0" w:rsidRDefault="00AB31C1">
            <w:pPr>
              <w:spacing w:after="0" w:line="240" w:lineRule="auto"/>
            </w:pPr>
            <w:r>
              <w:rPr>
                <w:sz w:val="14"/>
              </w:rPr>
              <w:t>Coding reduces friction, but does not guarantee reimbursement.</w:t>
            </w:r>
          </w:p>
        </w:tc>
      </w:tr>
      <w:tr w:rsidR="000C25E0" w14:paraId="2C63BB49"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0E5325E" w14:textId="77777777" w:rsidR="000C25E0" w:rsidRDefault="00AB31C1">
            <w:pPr>
              <w:spacing w:after="0" w:line="240" w:lineRule="auto"/>
            </w:pPr>
            <w:r>
              <w:rPr>
                <w:b/>
                <w:color w:val="244B25"/>
                <w:sz w:val="14"/>
              </w:rPr>
              <w:t>C9399 bridge</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3C9FD5D" w14:textId="77777777" w:rsidR="000C25E0" w:rsidRDefault="00AB31C1">
            <w:pPr>
              <w:spacing w:after="0" w:line="240" w:lineRule="auto"/>
            </w:pPr>
            <w:r>
              <w:rPr>
                <w:sz w:val="14"/>
              </w:rPr>
              <w:t>CMS created C9399 for certain new FDA-approved outpatient drugs without product-specific HCPCS codes, with payment at 95% of AWP as determined by the contractor. [3][4]</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709C1FC" w14:textId="77777777" w:rsidR="000C25E0" w:rsidRDefault="00AB31C1">
            <w:pPr>
              <w:spacing w:after="0" w:line="240" w:lineRule="auto"/>
            </w:pPr>
            <w:r>
              <w:rPr>
                <w:sz w:val="14"/>
              </w:rPr>
              <w:t>Model hospital outpatient bridge payment separately.</w:t>
            </w:r>
          </w:p>
        </w:tc>
      </w:tr>
      <w:tr w:rsidR="000C25E0" w14:paraId="132766F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914B817" w14:textId="77777777" w:rsidR="000C25E0" w:rsidRDefault="00AB31C1">
            <w:pPr>
              <w:spacing w:after="0" w:line="240" w:lineRule="auto"/>
            </w:pPr>
            <w:r>
              <w:rPr>
                <w:b/>
                <w:color w:val="244B25"/>
                <w:sz w:val="14"/>
              </w:rPr>
              <w:t>Initial sales period</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AE6F24A" w14:textId="77777777" w:rsidR="000C25E0" w:rsidRDefault="00AB31C1">
            <w:pPr>
              <w:spacing w:after="0" w:line="240" w:lineRule="auto"/>
            </w:pPr>
            <w:r>
              <w:rPr>
                <w:sz w:val="14"/>
              </w:rPr>
              <w:t>CMS guidance states payment may be up to 103% of WAC when ASP is not yet available. [3]</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8E9F9F8" w14:textId="77777777" w:rsidR="000C25E0" w:rsidRDefault="00AB31C1">
            <w:pPr>
              <w:spacing w:after="0" w:line="240" w:lineRule="auto"/>
            </w:pPr>
            <w:r>
              <w:rPr>
                <w:sz w:val="14"/>
              </w:rPr>
              <w:t>Use as a Medicare benchmark, not a commercial guarantee.</w:t>
            </w:r>
          </w:p>
        </w:tc>
      </w:tr>
      <w:tr w:rsidR="000C25E0" w14:paraId="6BCC4A42"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9A55988" w14:textId="77777777" w:rsidR="000C25E0" w:rsidRDefault="00AB31C1">
            <w:pPr>
              <w:spacing w:after="0" w:line="240" w:lineRule="auto"/>
            </w:pPr>
            <w:r>
              <w:rPr>
                <w:b/>
                <w:color w:val="244B25"/>
                <w:sz w:val="14"/>
              </w:rPr>
              <w:t>OPPS pass-through</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0768ADC5" w14:textId="77777777" w:rsidR="000C25E0" w:rsidRDefault="00AB31C1">
            <w:pPr>
              <w:spacing w:after="0" w:line="240" w:lineRule="auto"/>
            </w:pPr>
            <w:r>
              <w:rPr>
                <w:sz w:val="14"/>
              </w:rPr>
              <w:t>Pass-through applications are handled through CMS MEARIS; pass-through status is temporary and subject to CMS approval. [5][6]</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5DF1F9A" w14:textId="77777777" w:rsidR="000C25E0" w:rsidRDefault="00AB31C1">
            <w:pPr>
              <w:spacing w:after="0" w:line="240" w:lineRule="auto"/>
            </w:pPr>
            <w:r>
              <w:rPr>
                <w:sz w:val="14"/>
              </w:rPr>
              <w:t>Treat January 1, 2027 as a planning scenario, not a certainty.</w:t>
            </w:r>
          </w:p>
        </w:tc>
      </w:tr>
    </w:tbl>
    <w:p w14:paraId="01A6E285" w14:textId="222E3B66" w:rsidR="000C25E0" w:rsidRDefault="00AB31C1">
      <w:pPr>
        <w:keepNext/>
        <w:spacing w:before="200" w:after="80" w:line="245" w:lineRule="auto"/>
      </w:pPr>
      <w:r>
        <w:rPr>
          <w:b/>
          <w:color w:val="4E8A2D"/>
          <w:sz w:val="28"/>
        </w:rPr>
        <w:t>Why 340B Matters</w:t>
      </w:r>
    </w:p>
    <w:p w14:paraId="7A4CBC77" w14:textId="77777777" w:rsidR="000C25E0" w:rsidRDefault="00AB31C1">
      <w:r>
        <w:t>340B should be modeled as an acquisition advantage, not as a guaranteed margin. HRSA describes the 340B ceiling price as based on AMP minus URA, with operational adjustments for package and case-pack pricing. [7][8]</w:t>
      </w:r>
    </w:p>
    <w:tbl>
      <w:tblPr>
        <w:tblW w:w="10152" w:type="dxa"/>
        <w:tblLayout w:type="fixed"/>
        <w:tblLook w:val="04A0" w:firstRow="1" w:lastRow="0" w:firstColumn="1" w:lastColumn="0" w:noHBand="0" w:noVBand="1"/>
      </w:tblPr>
      <w:tblGrid>
        <w:gridCol w:w="4204"/>
        <w:gridCol w:w="5948"/>
      </w:tblGrid>
      <w:tr w:rsidR="000C25E0" w14:paraId="181B1CAE" w14:textId="77777777">
        <w:trPr>
          <w:tblHeader/>
        </w:trPr>
        <w:tc>
          <w:tcPr>
            <w:tcW w:w="295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6CE70B41" w14:textId="77777777" w:rsidR="000C25E0" w:rsidRDefault="00AB31C1">
            <w:pPr>
              <w:spacing w:after="0" w:line="240" w:lineRule="auto"/>
            </w:pPr>
            <w:r>
              <w:rPr>
                <w:b/>
                <w:color w:val="4E8A2D"/>
                <w:sz w:val="15"/>
              </w:rPr>
              <w:t>Scenario</w:t>
            </w:r>
          </w:p>
        </w:tc>
        <w:tc>
          <w:tcPr>
            <w:tcW w:w="720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76A7A2BD" w14:textId="77777777" w:rsidR="000C25E0" w:rsidRDefault="00AB31C1">
            <w:pPr>
              <w:spacing w:after="0" w:line="240" w:lineRule="auto"/>
            </w:pPr>
            <w:r>
              <w:rPr>
                <w:b/>
                <w:color w:val="4E8A2D"/>
                <w:sz w:val="15"/>
              </w:rPr>
              <w:t>Provider position</w:t>
            </w:r>
          </w:p>
        </w:tc>
      </w:tr>
      <w:tr w:rsidR="000C25E0" w14:paraId="05CB8203"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32807F7" w14:textId="77777777" w:rsidR="000C25E0" w:rsidRDefault="00AB31C1">
            <w:pPr>
              <w:spacing w:after="0" w:line="240" w:lineRule="auto"/>
            </w:pPr>
            <w:r>
              <w:rPr>
                <w:b/>
                <w:color w:val="244B25"/>
                <w:sz w:val="15"/>
              </w:rPr>
              <w:t>Non-340B commercial COE</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1C676E2" w14:textId="77777777" w:rsidR="000C25E0" w:rsidRDefault="00AB31C1">
            <w:pPr>
              <w:spacing w:after="0" w:line="240" w:lineRule="auto"/>
            </w:pPr>
            <w:r>
              <w:rPr>
                <w:sz w:val="15"/>
              </w:rPr>
              <w:t>Purchases at or near WAC, depends heavily on payment rate and denial timing.</w:t>
            </w:r>
          </w:p>
        </w:tc>
      </w:tr>
      <w:tr w:rsidR="000C25E0" w14:paraId="74A31B71"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B47729F" w14:textId="77777777" w:rsidR="000C25E0" w:rsidRDefault="00AB31C1">
            <w:pPr>
              <w:spacing w:after="0" w:line="240" w:lineRule="auto"/>
            </w:pPr>
            <w:r>
              <w:rPr>
                <w:b/>
                <w:color w:val="244B25"/>
                <w:sz w:val="15"/>
              </w:rPr>
              <w:t>340B COE</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F052D2E" w14:textId="77777777" w:rsidR="000C25E0" w:rsidRDefault="00AB31C1">
            <w:pPr>
              <w:spacing w:after="0" w:line="240" w:lineRule="auto"/>
            </w:pPr>
            <w:r>
              <w:rPr>
                <w:sz w:val="15"/>
              </w:rPr>
              <w:t>May acquire at a materially lower cost, improving net recovery potential.</w:t>
            </w:r>
          </w:p>
        </w:tc>
      </w:tr>
      <w:tr w:rsidR="000C25E0" w14:paraId="387A23E6"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060C72C" w14:textId="77777777" w:rsidR="000C25E0" w:rsidRDefault="00AB31C1">
            <w:pPr>
              <w:spacing w:after="0" w:line="240" w:lineRule="auto"/>
            </w:pPr>
            <w:r>
              <w:rPr>
                <w:b/>
                <w:color w:val="244B25"/>
                <w:sz w:val="15"/>
              </w:rPr>
              <w:t>Medicaid 340B</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BC5A5E6" w14:textId="77777777" w:rsidR="000C25E0" w:rsidRDefault="00AB31C1">
            <w:pPr>
              <w:spacing w:after="0" w:line="240" w:lineRule="auto"/>
            </w:pPr>
            <w:r>
              <w:rPr>
                <w:sz w:val="15"/>
              </w:rPr>
              <w:t>Requires carve-in/out and duplicate-discount controls.</w:t>
            </w:r>
          </w:p>
        </w:tc>
      </w:tr>
      <w:tr w:rsidR="000C25E0" w14:paraId="2B5AED0C"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0C00300" w14:textId="77777777" w:rsidR="000C25E0" w:rsidRDefault="00AB31C1">
            <w:pPr>
              <w:spacing w:after="0" w:line="240" w:lineRule="auto"/>
            </w:pPr>
            <w:r>
              <w:rPr>
                <w:b/>
                <w:color w:val="244B25"/>
                <w:sz w:val="15"/>
              </w:rPr>
              <w:t>White-bagging</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13FE5AD" w14:textId="77777777" w:rsidR="000C25E0" w:rsidRDefault="00AB31C1">
            <w:pPr>
              <w:spacing w:after="0" w:line="240" w:lineRule="auto"/>
            </w:pPr>
            <w:r>
              <w:rPr>
                <w:sz w:val="15"/>
              </w:rPr>
              <w:t>Provider does not buy the drug, but also loses drug margin opportunity.</w:t>
            </w:r>
          </w:p>
        </w:tc>
      </w:tr>
    </w:tbl>
    <w:p w14:paraId="5A44BEF9" w14:textId="77777777" w:rsidR="000C25E0" w:rsidRDefault="000C25E0">
      <w:pPr>
        <w:spacing w:after="100"/>
      </w:pPr>
    </w:p>
    <w:tbl>
      <w:tblPr>
        <w:tblW w:w="10152" w:type="dxa"/>
        <w:tblLayout w:type="fixed"/>
        <w:tblLook w:val="04A0" w:firstRow="1" w:lastRow="0" w:firstColumn="1" w:lastColumn="0" w:noHBand="0" w:noVBand="1"/>
      </w:tblPr>
      <w:tblGrid>
        <w:gridCol w:w="10152"/>
      </w:tblGrid>
      <w:tr w:rsidR="000C25E0" w14:paraId="4008DEFD" w14:textId="77777777">
        <w:tc>
          <w:tcPr>
            <w:tcW w:w="10152" w:type="dxa"/>
            <w:tcBorders>
              <w:top w:val="single" w:sz="7" w:space="0" w:color="BFD6B4"/>
              <w:left w:val="single" w:sz="7" w:space="0" w:color="BFD6B4"/>
              <w:bottom w:val="single" w:sz="7" w:space="0" w:color="BFD6B4"/>
              <w:right w:val="single" w:sz="7" w:space="0" w:color="BFD6B4"/>
            </w:tcBorders>
            <w:shd w:val="clear" w:color="auto" w:fill="EEF5EA"/>
            <w:tcMar>
              <w:top w:w="85" w:type="dxa"/>
              <w:left w:w="120" w:type="dxa"/>
              <w:bottom w:w="85" w:type="dxa"/>
              <w:right w:w="120" w:type="dxa"/>
            </w:tcMar>
          </w:tcPr>
          <w:p w14:paraId="1A5F3997" w14:textId="77777777" w:rsidR="000C25E0" w:rsidRDefault="00AB31C1">
            <w:pPr>
              <w:spacing w:after="40"/>
            </w:pPr>
            <w:r>
              <w:rPr>
                <w:b/>
                <w:color w:val="4E8A2D"/>
                <w:sz w:val="17"/>
              </w:rPr>
              <w:t>Key implication</w:t>
            </w:r>
          </w:p>
          <w:p w14:paraId="5231153E" w14:textId="77777777" w:rsidR="000C25E0" w:rsidRDefault="00AB31C1">
            <w:pPr>
              <w:spacing w:after="0" w:line="245" w:lineRule="auto"/>
            </w:pPr>
            <w:r>
              <w:rPr>
                <w:sz w:val="17"/>
              </w:rPr>
              <w:t>Adrabetadex launch may concentrate in 340B-eligible hospital systems because they are more likely to withstand acquisition cost, timing, and payer friction.</w:t>
            </w:r>
          </w:p>
        </w:tc>
      </w:tr>
    </w:tbl>
    <w:p w14:paraId="2F5F663B" w14:textId="77777777" w:rsidR="000C25E0" w:rsidRDefault="000C25E0">
      <w:pPr>
        <w:spacing w:after="120"/>
      </w:pPr>
    </w:p>
    <w:p w14:paraId="79E1A27F" w14:textId="5C6EF77C" w:rsidR="000C25E0" w:rsidRDefault="00AB31C1">
      <w:pPr>
        <w:keepNext/>
        <w:spacing w:before="200" w:after="80" w:line="245" w:lineRule="auto"/>
      </w:pPr>
      <w:r>
        <w:rPr>
          <w:b/>
          <w:color w:val="4E8A2D"/>
          <w:sz w:val="28"/>
        </w:rPr>
        <w:t>Strategic Value for Beren</w:t>
      </w:r>
    </w:p>
    <w:tbl>
      <w:tblPr>
        <w:tblW w:w="10152" w:type="dxa"/>
        <w:tblLayout w:type="fixed"/>
        <w:tblLook w:val="04A0" w:firstRow="1" w:lastRow="0" w:firstColumn="1" w:lastColumn="0" w:noHBand="0" w:noVBand="1"/>
      </w:tblPr>
      <w:tblGrid>
        <w:gridCol w:w="2985"/>
        <w:gridCol w:w="4182"/>
        <w:gridCol w:w="2985"/>
      </w:tblGrid>
      <w:tr w:rsidR="000C25E0" w14:paraId="20139327" w14:textId="77777777">
        <w:trPr>
          <w:tblHeader/>
        </w:trPr>
        <w:tc>
          <w:tcPr>
            <w:tcW w:w="2376"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6023E3C3" w14:textId="77777777" w:rsidR="000C25E0" w:rsidRDefault="00AB31C1">
            <w:pPr>
              <w:spacing w:after="0" w:line="240" w:lineRule="auto"/>
            </w:pPr>
            <w:r>
              <w:rPr>
                <w:b/>
                <w:color w:val="4E8A2D"/>
                <w:sz w:val="15"/>
              </w:rPr>
              <w:t>Decision need</w:t>
            </w:r>
          </w:p>
        </w:tc>
        <w:tc>
          <w:tcPr>
            <w:tcW w:w="4752"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5BE592D2" w14:textId="77777777" w:rsidR="000C25E0" w:rsidRDefault="00AB31C1">
            <w:pPr>
              <w:spacing w:after="0" w:line="240" w:lineRule="auto"/>
            </w:pPr>
            <w:r>
              <w:rPr>
                <w:b/>
                <w:color w:val="4E8A2D"/>
                <w:sz w:val="15"/>
              </w:rPr>
              <w:t>What the model shows</w:t>
            </w:r>
          </w:p>
        </w:tc>
        <w:tc>
          <w:tcPr>
            <w:tcW w:w="3024"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113E5A1C" w14:textId="77777777" w:rsidR="000C25E0" w:rsidRDefault="00AB31C1">
            <w:pPr>
              <w:spacing w:after="0" w:line="240" w:lineRule="auto"/>
            </w:pPr>
            <w:r>
              <w:rPr>
                <w:b/>
                <w:color w:val="4E8A2D"/>
                <w:sz w:val="15"/>
              </w:rPr>
              <w:t>Leadership use</w:t>
            </w:r>
          </w:p>
        </w:tc>
      </w:tr>
      <w:tr w:rsidR="000C25E0" w14:paraId="7C646D1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A0114BD" w14:textId="77777777" w:rsidR="000C25E0" w:rsidRDefault="00AB31C1">
            <w:pPr>
              <w:spacing w:after="0" w:line="240" w:lineRule="auto"/>
            </w:pPr>
            <w:r>
              <w:rPr>
                <w:b/>
                <w:color w:val="244B25"/>
                <w:sz w:val="15"/>
              </w:rPr>
              <w:t>Site prioritization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6855AC6" w14:textId="77777777" w:rsidR="000C25E0" w:rsidRDefault="00AB31C1">
            <w:pPr>
              <w:spacing w:after="0" w:line="240" w:lineRule="auto"/>
            </w:pPr>
            <w:r>
              <w:rPr>
                <w:sz w:val="15"/>
              </w:rPr>
              <w:t>Which COEs can treat without expected loss.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4F815AD" w14:textId="77777777" w:rsidR="000C25E0" w:rsidRDefault="00AB31C1">
            <w:pPr>
              <w:spacing w:after="0" w:line="240" w:lineRule="auto"/>
            </w:pPr>
            <w:r>
              <w:rPr>
                <w:sz w:val="15"/>
              </w:rPr>
              <w:t>Focus launch resources.</w:t>
            </w:r>
          </w:p>
        </w:tc>
      </w:tr>
      <w:tr w:rsidR="000C25E0" w14:paraId="3F4157F4"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3B9934D" w14:textId="77777777" w:rsidR="000C25E0" w:rsidRDefault="00AB31C1">
            <w:pPr>
              <w:spacing w:after="0" w:line="240" w:lineRule="auto"/>
            </w:pPr>
            <w:r>
              <w:rPr>
                <w:b/>
                <w:color w:val="244B25"/>
                <w:sz w:val="15"/>
              </w:rPr>
              <w:t>Provider value story</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154AE30" w14:textId="77777777" w:rsidR="000C25E0" w:rsidRDefault="00AB31C1">
            <w:pPr>
              <w:spacing w:after="0" w:line="240" w:lineRule="auto"/>
            </w:pPr>
            <w:r>
              <w:rPr>
                <w:sz w:val="15"/>
              </w:rPr>
              <w:t>Whether drug cost, administration, and administrative burden are recoverable.</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8AB50A3" w14:textId="77777777" w:rsidR="000C25E0" w:rsidRDefault="00AB31C1">
            <w:pPr>
              <w:spacing w:after="0" w:line="240" w:lineRule="auto"/>
            </w:pPr>
            <w:r>
              <w:rPr>
                <w:sz w:val="15"/>
              </w:rPr>
              <w:t>Support provider education.</w:t>
            </w:r>
          </w:p>
        </w:tc>
      </w:tr>
      <w:tr w:rsidR="000C25E0" w14:paraId="16FD1B8F"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8D80435" w14:textId="77777777" w:rsidR="000C25E0" w:rsidRDefault="00AB31C1">
            <w:pPr>
              <w:spacing w:after="0" w:line="240" w:lineRule="auto"/>
            </w:pPr>
            <w:r>
              <w:rPr>
                <w:b/>
                <w:color w:val="244B25"/>
                <w:sz w:val="15"/>
              </w:rPr>
              <w:t>Payer friction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226338E" w14:textId="77777777" w:rsidR="000C25E0" w:rsidRDefault="00AB31C1">
            <w:pPr>
              <w:spacing w:after="0" w:line="240" w:lineRule="auto"/>
            </w:pPr>
            <w:r>
              <w:rPr>
                <w:sz w:val="15"/>
              </w:rPr>
              <w:t>Effect of white-bagging, prior authorization, and site-of-care rules.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E94A14F" w14:textId="77777777" w:rsidR="000C25E0" w:rsidRDefault="00AB31C1">
            <w:pPr>
              <w:spacing w:after="0" w:line="240" w:lineRule="auto"/>
            </w:pPr>
            <w:r>
              <w:rPr>
                <w:sz w:val="15"/>
              </w:rPr>
              <w:t>Shape contracting and field strategy.</w:t>
            </w:r>
          </w:p>
        </w:tc>
      </w:tr>
      <w:tr w:rsidR="000C25E0" w14:paraId="71CF19CD"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0716F7D9" w14:textId="77777777" w:rsidR="000C25E0" w:rsidRDefault="00AB31C1">
            <w:pPr>
              <w:spacing w:after="0" w:line="240" w:lineRule="auto"/>
            </w:pPr>
            <w:r>
              <w:rPr>
                <w:b/>
                <w:color w:val="244B25"/>
                <w:sz w:val="15"/>
              </w:rPr>
              <w:t>Support strategy</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72EEA78" w14:textId="77777777" w:rsidR="000C25E0" w:rsidRDefault="00AB31C1">
            <w:pPr>
              <w:spacing w:after="0" w:line="240" w:lineRule="auto"/>
            </w:pPr>
            <w:r>
              <w:rPr>
                <w:sz w:val="15"/>
              </w:rPr>
              <w:t>Support needed to reach break-even.</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DE5BEA1" w14:textId="77777777" w:rsidR="000C25E0" w:rsidRDefault="00AB31C1">
            <w:pPr>
              <w:spacing w:after="0" w:line="240" w:lineRule="auto"/>
            </w:pPr>
            <w:r>
              <w:rPr>
                <w:sz w:val="15"/>
              </w:rPr>
              <w:t>Target support instead of over-subsidizing.</w:t>
            </w:r>
          </w:p>
        </w:tc>
      </w:tr>
      <w:tr w:rsidR="000C25E0" w14:paraId="272622D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11DBC4B" w14:textId="77777777" w:rsidR="000C25E0" w:rsidRDefault="00AB31C1">
            <w:pPr>
              <w:spacing w:after="0" w:line="240" w:lineRule="auto"/>
            </w:pPr>
            <w:r>
              <w:rPr>
                <w:b/>
                <w:color w:val="244B25"/>
                <w:sz w:val="15"/>
              </w:rPr>
              <w:t>MLR clarity</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CCD5599" w14:textId="77777777" w:rsidR="000C25E0" w:rsidRDefault="00AB31C1">
            <w:pPr>
              <w:spacing w:after="0" w:line="240" w:lineRule="auto"/>
            </w:pPr>
            <w:r>
              <w:rPr>
                <w:sz w:val="15"/>
              </w:rPr>
              <w:t>Separation of public facts, internal assumptions, and model outputs.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C59ABF1" w14:textId="77777777" w:rsidR="000C25E0" w:rsidRDefault="00AB31C1">
            <w:pPr>
              <w:spacing w:after="0" w:line="240" w:lineRule="auto"/>
            </w:pPr>
            <w:r>
              <w:rPr>
                <w:sz w:val="15"/>
              </w:rPr>
              <w:t>Reduce review risk.</w:t>
            </w:r>
          </w:p>
        </w:tc>
      </w:tr>
    </w:tbl>
    <w:p w14:paraId="7D12F687" w14:textId="77777777" w:rsidR="000C25E0" w:rsidRDefault="000C25E0">
      <w:pPr>
        <w:spacing w:after="100"/>
      </w:pPr>
    </w:p>
    <w:p w14:paraId="7E34BA3A" w14:textId="77777777" w:rsidR="00AE5E52" w:rsidRDefault="00AE5E52">
      <w:pPr>
        <w:spacing w:after="100"/>
      </w:pPr>
    </w:p>
    <w:p w14:paraId="73D7331B" w14:textId="77777777" w:rsidR="00AE5E52" w:rsidRDefault="00AE5E52">
      <w:pPr>
        <w:spacing w:after="100"/>
      </w:pPr>
    </w:p>
    <w:p w14:paraId="59235195" w14:textId="77777777" w:rsidR="00AE5E52" w:rsidRDefault="00AE5E52">
      <w:pPr>
        <w:spacing w:after="100"/>
      </w:pPr>
    </w:p>
    <w:p w14:paraId="2D295989" w14:textId="77777777" w:rsidR="00AE5E52" w:rsidRDefault="00AE5E52">
      <w:pPr>
        <w:spacing w:after="100"/>
      </w:pPr>
    </w:p>
    <w:p w14:paraId="4C7A7FFE" w14:textId="77777777" w:rsidR="00AE5E52" w:rsidRDefault="00AE5E52">
      <w:pPr>
        <w:spacing w:after="100"/>
      </w:pPr>
    </w:p>
    <w:p w14:paraId="5B889F3D" w14:textId="409C29A0" w:rsidR="000C25E0" w:rsidRDefault="00AB31C1">
      <w:pPr>
        <w:keepNext/>
        <w:spacing w:before="200" w:after="80" w:line="245" w:lineRule="auto"/>
      </w:pPr>
      <w:r>
        <w:rPr>
          <w:b/>
          <w:color w:val="4E8A2D"/>
          <w:sz w:val="28"/>
        </w:rPr>
        <w:t>Recommended Build</w:t>
      </w:r>
    </w:p>
    <w:p w14:paraId="2351CD4A" w14:textId="444E6356" w:rsidR="000C25E0" w:rsidRDefault="00AB31C1">
      <w:r>
        <w:t xml:space="preserve">The first build should be a disciplined Excel model with a printable executive </w:t>
      </w:r>
      <w:r w:rsidR="00D43393">
        <w:t xml:space="preserve">PDF </w:t>
      </w:r>
      <w:r>
        <w:t>output tab</w:t>
      </w:r>
    </w:p>
    <w:tbl>
      <w:tblPr>
        <w:tblW w:w="10152" w:type="dxa"/>
        <w:tblLayout w:type="fixed"/>
        <w:tblLook w:val="04A0" w:firstRow="1" w:lastRow="0" w:firstColumn="1" w:lastColumn="0" w:noHBand="0" w:noVBand="1"/>
      </w:tblPr>
      <w:tblGrid>
        <w:gridCol w:w="4109"/>
        <w:gridCol w:w="6043"/>
      </w:tblGrid>
      <w:tr w:rsidR="000C25E0" w14:paraId="157161DB" w14:textId="77777777">
        <w:trPr>
          <w:tblHeader/>
        </w:trPr>
        <w:tc>
          <w:tcPr>
            <w:tcW w:w="2664"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143D5977" w14:textId="77777777" w:rsidR="000C25E0" w:rsidRDefault="00AB31C1">
            <w:pPr>
              <w:spacing w:after="0" w:line="240" w:lineRule="auto"/>
            </w:pPr>
            <w:r>
              <w:rPr>
                <w:b/>
                <w:color w:val="4E8A2D"/>
                <w:sz w:val="15"/>
              </w:rPr>
              <w:t>Tab</w:t>
            </w:r>
          </w:p>
        </w:tc>
        <w:tc>
          <w:tcPr>
            <w:tcW w:w="7488"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109DEBF2" w14:textId="77777777" w:rsidR="000C25E0" w:rsidRDefault="00AB31C1">
            <w:pPr>
              <w:spacing w:after="0" w:line="240" w:lineRule="auto"/>
            </w:pPr>
            <w:r>
              <w:rPr>
                <w:b/>
                <w:color w:val="4E8A2D"/>
                <w:sz w:val="15"/>
              </w:rPr>
              <w:t>Purpose</w:t>
            </w:r>
          </w:p>
        </w:tc>
      </w:tr>
      <w:tr w:rsidR="000C25E0" w14:paraId="29E9FA94"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9C3D837" w14:textId="77777777" w:rsidR="000C25E0" w:rsidRDefault="00AB31C1">
            <w:pPr>
              <w:spacing w:after="0" w:line="240" w:lineRule="auto"/>
            </w:pPr>
            <w:r>
              <w:rPr>
                <w:b/>
                <w:color w:val="244B25"/>
                <w:sz w:val="15"/>
              </w:rPr>
              <w:t>Instructions</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94A7EAA" w14:textId="77777777" w:rsidR="000C25E0" w:rsidRDefault="00AB31C1">
            <w:pPr>
              <w:spacing w:after="0" w:line="240" w:lineRule="auto"/>
            </w:pPr>
            <w:r>
              <w:rPr>
                <w:sz w:val="15"/>
              </w:rPr>
              <w:t>Define audience, limitations, and scenario use.</w:t>
            </w:r>
          </w:p>
        </w:tc>
      </w:tr>
      <w:tr w:rsidR="000C25E0" w14:paraId="7B708FA4"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103EC9CC" w14:textId="77777777" w:rsidR="000C25E0" w:rsidRDefault="00AB31C1">
            <w:pPr>
              <w:spacing w:after="0" w:line="240" w:lineRule="auto"/>
            </w:pPr>
            <w:r>
              <w:rPr>
                <w:b/>
                <w:color w:val="244B25"/>
                <w:sz w:val="15"/>
              </w:rPr>
              <w:t>Core Assumptions</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3D05C44" w14:textId="77777777" w:rsidR="000C25E0" w:rsidRDefault="00AB31C1">
            <w:pPr>
              <w:spacing w:after="0" w:line="240" w:lineRule="auto"/>
            </w:pPr>
            <w:r>
              <w:rPr>
                <w:sz w:val="15"/>
              </w:rPr>
              <w:t>WAC, dose, payment basis, denial rate, labor, handling, days to payment.</w:t>
            </w:r>
          </w:p>
        </w:tc>
      </w:tr>
      <w:tr w:rsidR="000C25E0" w14:paraId="256CF81D"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84378D8" w14:textId="77777777" w:rsidR="000C25E0" w:rsidRDefault="00AB31C1">
            <w:pPr>
              <w:spacing w:after="0" w:line="240" w:lineRule="auto"/>
            </w:pPr>
            <w:r>
              <w:rPr>
                <w:b/>
                <w:color w:val="244B25"/>
                <w:sz w:val="15"/>
              </w:rPr>
              <w:t>Scenario Selector</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F7FD075" w14:textId="77777777" w:rsidR="000C25E0" w:rsidRDefault="00AB31C1">
            <w:pPr>
              <w:spacing w:after="0" w:line="240" w:lineRule="auto"/>
            </w:pPr>
            <w:r>
              <w:rPr>
                <w:sz w:val="15"/>
              </w:rPr>
              <w:t>Commercial buy-and-bill, white-bagging, Medicaid, 340B COE, pass-through.</w:t>
            </w:r>
          </w:p>
        </w:tc>
      </w:tr>
      <w:tr w:rsidR="000C25E0" w14:paraId="0B1ED6EF"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07741AE" w14:textId="77777777" w:rsidR="000C25E0" w:rsidRDefault="00AB31C1">
            <w:pPr>
              <w:spacing w:after="0" w:line="240" w:lineRule="auto"/>
            </w:pPr>
            <w:r>
              <w:rPr>
                <w:b/>
                <w:color w:val="244B25"/>
                <w:sz w:val="15"/>
              </w:rPr>
              <w:t>Calculation Engine</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A1FA58C" w14:textId="77777777" w:rsidR="000C25E0" w:rsidRDefault="00AB31C1">
            <w:pPr>
              <w:spacing w:after="0" w:line="240" w:lineRule="auto"/>
            </w:pPr>
            <w:r>
              <w:rPr>
                <w:sz w:val="15"/>
              </w:rPr>
              <w:t>Locked formulas and source notes.</w:t>
            </w:r>
          </w:p>
        </w:tc>
      </w:tr>
      <w:tr w:rsidR="000C25E0" w14:paraId="6553FEBB" w14:textId="77777777">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92857F4" w14:textId="77777777" w:rsidR="000C25E0" w:rsidRDefault="00AB31C1">
            <w:pPr>
              <w:spacing w:after="0" w:line="240" w:lineRule="auto"/>
            </w:pPr>
            <w:r>
              <w:rPr>
                <w:b/>
                <w:color w:val="244B25"/>
                <w:sz w:val="15"/>
              </w:rPr>
              <w:t>Executive Output</w:t>
            </w:r>
          </w:p>
        </w:tc>
        <w:tc>
          <w:tcPr>
            <w:tcW w:w="5076"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BC31045" w14:textId="77777777" w:rsidR="000C25E0" w:rsidRDefault="00AB31C1">
            <w:pPr>
              <w:spacing w:after="0" w:line="240" w:lineRule="auto"/>
            </w:pPr>
            <w:r>
              <w:rPr>
                <w:sz w:val="15"/>
              </w:rPr>
              <w:t>Per-dose margin, annual exposure, cash burden, break-even result.</w:t>
            </w:r>
          </w:p>
        </w:tc>
      </w:tr>
      <w:tr w:rsidR="000C25E0" w14:paraId="31196A41" w14:textId="77777777">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26039B4" w14:textId="77777777" w:rsidR="000C25E0" w:rsidRDefault="00AB31C1">
            <w:pPr>
              <w:spacing w:after="0" w:line="240" w:lineRule="auto"/>
            </w:pPr>
            <w:r>
              <w:rPr>
                <w:b/>
                <w:color w:val="244B25"/>
                <w:sz w:val="15"/>
              </w:rPr>
              <w:t>Source Appendix</w:t>
            </w:r>
          </w:p>
        </w:tc>
        <w:tc>
          <w:tcPr>
            <w:tcW w:w="5076"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0928C34" w14:textId="77777777" w:rsidR="000C25E0" w:rsidRDefault="00AB31C1">
            <w:pPr>
              <w:spacing w:after="0" w:line="240" w:lineRule="auto"/>
            </w:pPr>
            <w:r>
              <w:rPr>
                <w:sz w:val="15"/>
              </w:rPr>
              <w:t>Public source notes and assumption status.</w:t>
            </w:r>
          </w:p>
        </w:tc>
      </w:tr>
    </w:tbl>
    <w:p w14:paraId="02AA2825" w14:textId="77777777" w:rsidR="000C25E0" w:rsidRDefault="000C25E0">
      <w:pPr>
        <w:spacing w:after="100"/>
      </w:pPr>
    </w:p>
    <w:p w14:paraId="54D2B635" w14:textId="69F2896B" w:rsidR="000C25E0" w:rsidRDefault="00D43393">
      <w:pPr>
        <w:keepNext/>
        <w:spacing w:before="180" w:after="80" w:line="245" w:lineRule="auto"/>
      </w:pPr>
      <w:r>
        <w:rPr>
          <w:b/>
          <w:color w:val="4E8A2D"/>
          <w:sz w:val="28"/>
        </w:rPr>
        <w:t>F</w:t>
      </w:r>
      <w:r w:rsidR="00AB31C1">
        <w:rPr>
          <w:b/>
          <w:color w:val="4E8A2D"/>
          <w:sz w:val="28"/>
        </w:rPr>
        <w:t>inal Positioning</w:t>
      </w:r>
    </w:p>
    <w:p w14:paraId="20808700" w14:textId="77777777" w:rsidR="00AE5E52" w:rsidRPr="00AE5E52" w:rsidRDefault="00AE5E52" w:rsidP="00AE5E52">
      <w:r w:rsidRPr="00AE5E52">
        <w:t xml:space="preserve">The Provider Net Cost Recovery Model is a strategic launch tool that translates uncertainty into actionable insight. It makes provider adoption risk visible before launch, allowing Beren to anticipate where </w:t>
      </w:r>
      <w:proofErr w:type="spellStart"/>
      <w:r w:rsidRPr="00AE5E52">
        <w:t>Adrabetadex</w:t>
      </w:r>
      <w:proofErr w:type="spellEnd"/>
      <w:r w:rsidRPr="00AE5E52">
        <w:t xml:space="preserve"> will be financially viable and where barriers may emerge.</w:t>
      </w:r>
    </w:p>
    <w:p w14:paraId="7DC7DCBE" w14:textId="77777777" w:rsidR="00AE5E52" w:rsidRPr="00AE5E52" w:rsidRDefault="00AE5E52" w:rsidP="00AE5E52"/>
    <w:p w14:paraId="776C6BBE" w14:textId="77777777" w:rsidR="00AE5E52" w:rsidRPr="00AE5E52" w:rsidRDefault="00AE5E52" w:rsidP="00AE5E52">
      <w:r w:rsidRPr="00AE5E52">
        <w:t xml:space="preserve">It does not compete with the clinical value of </w:t>
      </w:r>
      <w:proofErr w:type="spellStart"/>
      <w:r w:rsidRPr="00AE5E52">
        <w:t>Adrabetadex</w:t>
      </w:r>
      <w:proofErr w:type="spellEnd"/>
      <w:r w:rsidRPr="00AE5E52">
        <w:t>, it enables it. By clearly defining the reimbursement, coding, and economic conditions required for treatment, the model equips Beren to align payer strategy, provider engagement, and field execution. The result is a more predictable, targeted, and scalable path to adoption across hospitals and centers of excellence, without exposing providers to unacceptable financial risk.</w:t>
      </w:r>
    </w:p>
    <w:p w14:paraId="455C5145" w14:textId="33640E2C" w:rsidR="000C25E0" w:rsidRDefault="00AB31C1">
      <w:r>
        <w:br w:type="page"/>
      </w:r>
    </w:p>
    <w:p w14:paraId="01A6A2B4" w14:textId="77777777" w:rsidR="000C25E0" w:rsidRDefault="00AB31C1">
      <w:pPr>
        <w:keepNext/>
        <w:spacing w:after="80" w:line="245" w:lineRule="auto"/>
      </w:pPr>
      <w:r>
        <w:rPr>
          <w:b/>
          <w:color w:val="4E8A2D"/>
          <w:sz w:val="28"/>
        </w:rPr>
        <w:lastRenderedPageBreak/>
        <w:t>Source Notes</w:t>
      </w:r>
    </w:p>
    <w:p w14:paraId="70BC96AC" w14:textId="77777777" w:rsidR="000C25E0" w:rsidRDefault="00AB31C1">
      <w:r>
        <w:rPr>
          <w:sz w:val="16"/>
        </w:rPr>
        <w:t>Source notes distinguish public reimbursement authorities, public payer-policy analogues, and client-supplied planning assumptions. Public sources were reviewed on April 28, 2026.</w:t>
      </w:r>
    </w:p>
    <w:tbl>
      <w:tblPr>
        <w:tblW w:w="10152" w:type="dxa"/>
        <w:tblLayout w:type="fixed"/>
        <w:tblLook w:val="04A0" w:firstRow="1" w:lastRow="0" w:firstColumn="1" w:lastColumn="0" w:noHBand="0" w:noVBand="1"/>
      </w:tblPr>
      <w:tblGrid>
        <w:gridCol w:w="3246"/>
        <w:gridCol w:w="3246"/>
        <w:gridCol w:w="3660"/>
      </w:tblGrid>
      <w:tr w:rsidR="000C25E0" w14:paraId="7DE88811" w14:textId="77777777">
        <w:trPr>
          <w:tblHeader/>
        </w:trPr>
        <w:tc>
          <w:tcPr>
            <w:tcW w:w="3096"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0DED4909" w14:textId="77777777" w:rsidR="000C25E0" w:rsidRDefault="00AB31C1">
            <w:pPr>
              <w:spacing w:after="0" w:line="240" w:lineRule="auto"/>
            </w:pPr>
            <w:r>
              <w:rPr>
                <w:b/>
                <w:color w:val="4E8A2D"/>
                <w:sz w:val="12"/>
              </w:rPr>
              <w:t>Reference</w:t>
            </w:r>
          </w:p>
        </w:tc>
        <w:tc>
          <w:tcPr>
            <w:tcW w:w="3240"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6317A992" w14:textId="77777777" w:rsidR="000C25E0" w:rsidRDefault="00AB31C1">
            <w:pPr>
              <w:spacing w:after="0" w:line="240" w:lineRule="auto"/>
            </w:pPr>
            <w:r>
              <w:rPr>
                <w:b/>
                <w:color w:val="4E8A2D"/>
                <w:sz w:val="12"/>
              </w:rPr>
              <w:t>Use in brief</w:t>
            </w:r>
          </w:p>
        </w:tc>
        <w:tc>
          <w:tcPr>
            <w:tcW w:w="3816" w:type="dxa"/>
            <w:tcBorders>
              <w:top w:val="single" w:sz="6" w:space="0" w:color="BFD6B4"/>
              <w:left w:val="single" w:sz="6" w:space="0" w:color="BFD6B4"/>
              <w:bottom w:val="single" w:sz="6" w:space="0" w:color="BFD6B4"/>
              <w:right w:val="single" w:sz="6" w:space="0" w:color="BFD6B4"/>
            </w:tcBorders>
            <w:shd w:val="clear" w:color="auto" w:fill="EEF5EA"/>
            <w:tcMar>
              <w:top w:w="70" w:type="dxa"/>
              <w:left w:w="90" w:type="dxa"/>
              <w:bottom w:w="70" w:type="dxa"/>
              <w:right w:w="90" w:type="dxa"/>
            </w:tcMar>
            <w:vAlign w:val="center"/>
          </w:tcPr>
          <w:p w14:paraId="1DD134EF" w14:textId="77777777" w:rsidR="000C25E0" w:rsidRDefault="00AB31C1">
            <w:pPr>
              <w:spacing w:after="0" w:line="240" w:lineRule="auto"/>
            </w:pPr>
            <w:r>
              <w:rPr>
                <w:b/>
                <w:color w:val="4E8A2D"/>
                <w:sz w:val="12"/>
              </w:rPr>
              <w:t>Source</w:t>
            </w:r>
          </w:p>
        </w:tc>
      </w:tr>
      <w:tr w:rsidR="000C25E0" w14:paraId="4F8D2504"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CB8ECCF" w14:textId="77777777" w:rsidR="000C25E0" w:rsidRDefault="00AB31C1">
            <w:pPr>
              <w:spacing w:after="0" w:line="240" w:lineRule="auto"/>
            </w:pPr>
            <w:r>
              <w:rPr>
                <w:b/>
                <w:color w:val="244B25"/>
                <w:sz w:val="12"/>
              </w:rPr>
              <w:t>[1] Beren Therapeutics / Navisync planning assumptions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D61ABF9" w14:textId="77777777" w:rsidR="000C25E0" w:rsidRDefault="00AB31C1">
            <w:pPr>
              <w:spacing w:after="0" w:line="240" w:lineRule="auto"/>
            </w:pPr>
            <w:r>
              <w:rPr>
                <w:sz w:val="12"/>
              </w:rPr>
              <w:t>Client-supplied assumptions for PDUFA timing, clinical narrative, WAC, vial size, dosing frequency, and annual administrations.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70F4313" w14:textId="77777777" w:rsidR="000C25E0" w:rsidRDefault="00AB31C1">
            <w:pPr>
              <w:spacing w:after="0" w:line="240" w:lineRule="auto"/>
            </w:pPr>
            <w:r>
              <w:rPr>
                <w:sz w:val="12"/>
              </w:rPr>
              <w:t>Internal planning assumptions supplied for this concept brief.</w:t>
            </w:r>
          </w:p>
        </w:tc>
      </w:tr>
      <w:tr w:rsidR="000C25E0" w14:paraId="24D9CF01"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4D1E09E" w14:textId="77777777" w:rsidR="000C25E0" w:rsidRDefault="00AB31C1">
            <w:pPr>
              <w:spacing w:after="0" w:line="240" w:lineRule="auto"/>
            </w:pPr>
            <w:r>
              <w:rPr>
                <w:b/>
                <w:color w:val="244B25"/>
                <w:sz w:val="12"/>
              </w:rPr>
              <w:t>[2] CMS, HCPCS Level II Coding Procedures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2A30942" w14:textId="77777777" w:rsidR="000C25E0" w:rsidRDefault="00AB31C1">
            <w:pPr>
              <w:spacing w:after="0" w:line="240" w:lineRule="auto"/>
            </w:pPr>
            <w:r>
              <w:rPr>
                <w:sz w:val="12"/>
              </w:rPr>
              <w:t>HCPCS drug and biological application deadlines, effective-date cycles, and CMS statement that coding does not itself determine coverage or payment.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3A6E632" w14:textId="77777777" w:rsidR="000C25E0" w:rsidRDefault="00AB31C1">
            <w:pPr>
              <w:spacing w:after="0" w:line="240" w:lineRule="auto"/>
            </w:pPr>
            <w:r>
              <w:rPr>
                <w:sz w:val="12"/>
              </w:rPr>
              <w:t>https://www.cms.gov/medicare/coding-billing/healthcare-common-procedure-system/level-ii-coding-process</w:t>
            </w:r>
          </w:p>
        </w:tc>
      </w:tr>
      <w:tr w:rsidR="000C25E0" w14:paraId="4781363B"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52E70DBD" w14:textId="77777777" w:rsidR="000C25E0" w:rsidRDefault="00AB31C1">
            <w:pPr>
              <w:spacing w:after="0" w:line="240" w:lineRule="auto"/>
            </w:pPr>
            <w:r>
              <w:rPr>
                <w:b/>
                <w:color w:val="244B25"/>
                <w:sz w:val="12"/>
              </w:rPr>
              <w:t>[3] CMS, Part B Drug Payment Limits Overview</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506E43B" w14:textId="77777777" w:rsidR="000C25E0" w:rsidRDefault="00AB31C1">
            <w:pPr>
              <w:spacing w:after="0" w:line="240" w:lineRule="auto"/>
            </w:pPr>
            <w:r>
              <w:rPr>
                <w:sz w:val="12"/>
              </w:rPr>
              <w:t>Initial sales period WAC logic, ASP timing, AWP, contractor pricing, and OPPS payment for drugs without an assigned HCPCS code.</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46E535E" w14:textId="77777777" w:rsidR="000C25E0" w:rsidRDefault="00AB31C1">
            <w:pPr>
              <w:spacing w:after="0" w:line="240" w:lineRule="auto"/>
            </w:pPr>
            <w:r>
              <w:rPr>
                <w:sz w:val="12"/>
              </w:rPr>
              <w:t>https://www.cms.gov/files/document/part-b-drug-payment-limits-overview.pdf-0</w:t>
            </w:r>
          </w:p>
        </w:tc>
      </w:tr>
      <w:tr w:rsidR="000C25E0" w14:paraId="5316AF1F"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30A63A7" w14:textId="77777777" w:rsidR="000C25E0" w:rsidRDefault="00AB31C1">
            <w:pPr>
              <w:spacing w:after="0" w:line="240" w:lineRule="auto"/>
            </w:pPr>
            <w:r>
              <w:rPr>
                <w:b/>
                <w:color w:val="244B25"/>
                <w:sz w:val="12"/>
              </w:rPr>
              <w:t>[4] CMS, C9399 unclassified outpatient drug payment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009DDEEE" w14:textId="77777777" w:rsidR="000C25E0" w:rsidRDefault="00AB31C1">
            <w:pPr>
              <w:spacing w:after="0" w:line="240" w:lineRule="auto"/>
            </w:pPr>
            <w:r>
              <w:rPr>
                <w:sz w:val="12"/>
              </w:rPr>
              <w:t>C9399 logic for certain new FDA-approved hospital outpatient drugs without product-specific HCPCS codes.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37DFB18" w14:textId="77777777" w:rsidR="000C25E0" w:rsidRDefault="00AB31C1">
            <w:pPr>
              <w:spacing w:after="0" w:line="240" w:lineRule="auto"/>
            </w:pPr>
            <w:r>
              <w:rPr>
                <w:sz w:val="12"/>
              </w:rPr>
              <w:t>https://www.cms.gov/newsroom/press-releases/medicare-pay-unclassified-fda-approved-drugs-administered-outpatient-departments</w:t>
            </w:r>
          </w:p>
        </w:tc>
      </w:tr>
      <w:tr w:rsidR="000C25E0" w14:paraId="1A82F242"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84910AE" w14:textId="77777777" w:rsidR="000C25E0" w:rsidRDefault="00AB31C1">
            <w:pPr>
              <w:spacing w:after="0" w:line="240" w:lineRule="auto"/>
            </w:pPr>
            <w:r>
              <w:rPr>
                <w:b/>
                <w:color w:val="244B25"/>
                <w:sz w:val="12"/>
              </w:rPr>
              <w:t>[5] CMS, OPPS Pass-Through Payment Status page</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611A394" w14:textId="77777777" w:rsidR="000C25E0" w:rsidRDefault="00AB31C1">
            <w:pPr>
              <w:spacing w:after="0" w:line="240" w:lineRule="auto"/>
            </w:pPr>
            <w:r>
              <w:rPr>
                <w:sz w:val="12"/>
              </w:rPr>
              <w:t>MEARIS submission pathway for OPPS drug and biological pass-through applications.</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DBD195E" w14:textId="77777777" w:rsidR="000C25E0" w:rsidRDefault="00AB31C1">
            <w:pPr>
              <w:spacing w:after="0" w:line="240" w:lineRule="auto"/>
            </w:pPr>
            <w:r>
              <w:rPr>
                <w:sz w:val="12"/>
              </w:rPr>
              <w:t>https://www.cms.gov/medicare/payment/prospective-payment-systems/hospital-outpatient/pass-through-payment-status-new-technology-ambulatory-payment-classification-apc</w:t>
            </w:r>
          </w:p>
        </w:tc>
      </w:tr>
      <w:tr w:rsidR="000C25E0" w14:paraId="595ADA00"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C948FEA" w14:textId="77777777" w:rsidR="000C25E0" w:rsidRDefault="00AB31C1">
            <w:pPr>
              <w:spacing w:after="0" w:line="240" w:lineRule="auto"/>
            </w:pPr>
            <w:r>
              <w:rPr>
                <w:b/>
                <w:color w:val="244B25"/>
                <w:sz w:val="12"/>
              </w:rPr>
              <w:t>[6] CMS, Transitional Pass-Through Drug and Biological Eligibility Process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A61D7DA" w14:textId="77777777" w:rsidR="000C25E0" w:rsidRDefault="00AB31C1">
            <w:pPr>
              <w:spacing w:after="0" w:line="240" w:lineRule="auto"/>
            </w:pPr>
            <w:r>
              <w:rPr>
                <w:sz w:val="12"/>
              </w:rPr>
              <w:t>Eligibility process and planning timing for transitional pass-through status.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6A2A9D9" w14:textId="77777777" w:rsidR="000C25E0" w:rsidRDefault="00AB31C1">
            <w:pPr>
              <w:spacing w:after="0" w:line="240" w:lineRule="auto"/>
            </w:pPr>
            <w:r>
              <w:rPr>
                <w:sz w:val="12"/>
              </w:rPr>
              <w:t>https://www.cms.gov/files/document/determine-eligibility-drugs-biologicals-transitional-pass-through-payment-under-hospital-outpatient.pdf</w:t>
            </w:r>
          </w:p>
        </w:tc>
      </w:tr>
      <w:tr w:rsidR="000C25E0" w14:paraId="3E2F4649"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D6A08B2" w14:textId="77777777" w:rsidR="000C25E0" w:rsidRDefault="00AB31C1">
            <w:pPr>
              <w:spacing w:after="0" w:line="240" w:lineRule="auto"/>
            </w:pPr>
            <w:r>
              <w:rPr>
                <w:b/>
                <w:color w:val="244B25"/>
                <w:sz w:val="12"/>
              </w:rPr>
              <w:t>[7] HRSA, 340B ceiling price calculation</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37DC4E36" w14:textId="77777777" w:rsidR="000C25E0" w:rsidRDefault="00AB31C1">
            <w:pPr>
              <w:spacing w:after="0" w:line="240" w:lineRule="auto"/>
            </w:pPr>
            <w:r>
              <w:rPr>
                <w:sz w:val="12"/>
              </w:rPr>
              <w:t>340B ceiling price framework based on AMP minus URA.</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19B13447" w14:textId="77777777" w:rsidR="000C25E0" w:rsidRDefault="00AB31C1">
            <w:pPr>
              <w:spacing w:after="0" w:line="240" w:lineRule="auto"/>
            </w:pPr>
            <w:r>
              <w:rPr>
                <w:sz w:val="12"/>
              </w:rPr>
              <w:t>https://www.hrsa.gov/about/faqs/how-340b-ceiling-price-calculated</w:t>
            </w:r>
          </w:p>
        </w:tc>
      </w:tr>
      <w:tr w:rsidR="000C25E0" w14:paraId="37382059"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6A824BA" w14:textId="77777777" w:rsidR="000C25E0" w:rsidRDefault="00AB31C1">
            <w:pPr>
              <w:spacing w:after="0" w:line="240" w:lineRule="auto"/>
            </w:pPr>
            <w:r>
              <w:rPr>
                <w:b/>
                <w:color w:val="244B25"/>
                <w:sz w:val="12"/>
              </w:rPr>
              <w:t>[8] HRSA, 340B pricing formulas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B95D4FA" w14:textId="77777777" w:rsidR="000C25E0" w:rsidRDefault="00AB31C1">
            <w:pPr>
              <w:spacing w:after="0" w:line="240" w:lineRule="auto"/>
            </w:pPr>
            <w:r>
              <w:rPr>
                <w:sz w:val="12"/>
              </w:rPr>
              <w:t>Operational 340B package-size and case-pack pricing formulas.</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6E1859C1" w14:textId="77777777" w:rsidR="000C25E0" w:rsidRDefault="00AB31C1">
            <w:pPr>
              <w:spacing w:after="0" w:line="240" w:lineRule="auto"/>
            </w:pPr>
            <w:r>
              <w:rPr>
                <w:sz w:val="12"/>
              </w:rPr>
              <w:t>https://340bpricingsubmissions.hrsa.gov/Help/Manufacturer/Pricing%20Formulas/Pricing%20Formulas.htm</w:t>
            </w:r>
          </w:p>
        </w:tc>
      </w:tr>
      <w:tr w:rsidR="000C25E0" w14:paraId="61035EAC"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7F3DCB13" w14:textId="77777777" w:rsidR="000C25E0" w:rsidRDefault="00AB31C1">
            <w:pPr>
              <w:spacing w:after="0" w:line="240" w:lineRule="auto"/>
            </w:pPr>
            <w:r>
              <w:rPr>
                <w:b/>
                <w:color w:val="244B25"/>
                <w:sz w:val="12"/>
              </w:rPr>
              <w:t>[9] Medicaid.gov, EPSDT</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00A48274" w14:textId="77777777" w:rsidR="000C25E0" w:rsidRDefault="00AB31C1">
            <w:pPr>
              <w:spacing w:after="0" w:line="240" w:lineRule="auto"/>
            </w:pPr>
            <w:r>
              <w:rPr>
                <w:sz w:val="12"/>
              </w:rPr>
              <w:t>Medicaid EPSDT coverage framework for children under age 21.</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22D5ADB" w14:textId="77777777" w:rsidR="000C25E0" w:rsidRDefault="00AB31C1">
            <w:pPr>
              <w:spacing w:after="0" w:line="240" w:lineRule="auto"/>
            </w:pPr>
            <w:r>
              <w:rPr>
                <w:sz w:val="12"/>
              </w:rPr>
              <w:t>https://www.medicaid.gov/medicaid/benefits/early-and-periodic-screening-diagnostic-and-treatment</w:t>
            </w:r>
          </w:p>
        </w:tc>
      </w:tr>
      <w:tr w:rsidR="000C25E0" w14:paraId="07B1D545"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5953CCFE" w14:textId="77777777" w:rsidR="000C25E0" w:rsidRDefault="00AB31C1">
            <w:pPr>
              <w:spacing w:after="0" w:line="240" w:lineRule="auto"/>
            </w:pPr>
            <w:r>
              <w:rPr>
                <w:b/>
                <w:color w:val="244B25"/>
                <w:sz w:val="12"/>
              </w:rPr>
              <w:t>[10] Medicaid.gov, State Drug Utilization Data FAQ</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7EEC0450" w14:textId="77777777" w:rsidR="000C25E0" w:rsidRDefault="00AB31C1">
            <w:pPr>
              <w:spacing w:after="0" w:line="240" w:lineRule="auto"/>
            </w:pPr>
            <w:r>
              <w:rPr>
                <w:sz w:val="12"/>
              </w:rPr>
              <w:t>NDC-based utilization reporting logic under the Medicaid Drug Rebate Program.</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3F6E5B50" w14:textId="77777777" w:rsidR="000C25E0" w:rsidRDefault="00AB31C1">
            <w:pPr>
              <w:spacing w:after="0" w:line="240" w:lineRule="auto"/>
            </w:pPr>
            <w:r>
              <w:rPr>
                <w:sz w:val="12"/>
              </w:rPr>
              <w:t>https://www.medicaid.gov/faq/regarding-state-drug-utilization-data-sdud-there-official-crosswalk-of-national-drug-code-ndc-and-healthcare-common-procedure-coding-system-hcpcs-codes-which-providers-can-use/index.html</w:t>
            </w:r>
          </w:p>
        </w:tc>
      </w:tr>
      <w:tr w:rsidR="000C25E0" w14:paraId="14F62D60" w14:textId="77777777">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4C4F7D4D" w14:textId="77777777" w:rsidR="000C25E0" w:rsidRDefault="00AB31C1">
            <w:pPr>
              <w:spacing w:after="0" w:line="240" w:lineRule="auto"/>
            </w:pPr>
            <w:r>
              <w:rPr>
                <w:b/>
                <w:color w:val="244B25"/>
                <w:sz w:val="12"/>
              </w:rPr>
              <w:t>[11] UnitedHealthcare, medication sourcing protocol</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2086C685" w14:textId="77777777" w:rsidR="000C25E0" w:rsidRDefault="00AB31C1">
            <w:pPr>
              <w:spacing w:after="0" w:line="240" w:lineRule="auto"/>
            </w:pPr>
            <w:r>
              <w:rPr>
                <w:sz w:val="12"/>
              </w:rPr>
              <w:t>Public commercial-policy analogue for specialty-pharmacy sourcing and provider administration-only billing.</w:t>
            </w:r>
          </w:p>
        </w:tc>
        <w:tc>
          <w:tcPr>
            <w:tcW w:w="3384" w:type="dxa"/>
            <w:tcBorders>
              <w:top w:val="single" w:sz="4" w:space="0" w:color="BFD6B4"/>
              <w:left w:val="single" w:sz="4" w:space="0" w:color="BFD6B4"/>
              <w:bottom w:val="single" w:sz="4" w:space="0" w:color="BFD6B4"/>
              <w:right w:val="single" w:sz="4" w:space="0" w:color="BFD6B4"/>
            </w:tcBorders>
            <w:shd w:val="clear" w:color="auto" w:fill="F6F8F5"/>
            <w:tcMar>
              <w:top w:w="55" w:type="dxa"/>
              <w:left w:w="90" w:type="dxa"/>
              <w:bottom w:w="55" w:type="dxa"/>
              <w:right w:w="90" w:type="dxa"/>
            </w:tcMar>
            <w:vAlign w:val="center"/>
          </w:tcPr>
          <w:p w14:paraId="6D7AA418" w14:textId="77777777" w:rsidR="000C25E0" w:rsidRDefault="00AB31C1">
            <w:pPr>
              <w:spacing w:after="0" w:line="240" w:lineRule="auto"/>
            </w:pPr>
            <w:r>
              <w:rPr>
                <w:sz w:val="12"/>
              </w:rPr>
              <w:t>https://www.uhcprovider.com/content/dam/provider/docs/public/resources/pharmacy/medication-expansion-sourcing-faq.pdf</w:t>
            </w:r>
          </w:p>
        </w:tc>
      </w:tr>
      <w:tr w:rsidR="000C25E0" w14:paraId="27F34BCA" w14:textId="77777777">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3376AB5" w14:textId="77777777" w:rsidR="000C25E0" w:rsidRDefault="00AB31C1">
            <w:pPr>
              <w:spacing w:after="0" w:line="240" w:lineRule="auto"/>
            </w:pPr>
            <w:r>
              <w:rPr>
                <w:b/>
                <w:color w:val="244B25"/>
                <w:sz w:val="12"/>
              </w:rPr>
              <w:t>[12] UnitedHealthcare, Provider Administered Drugs - Site of Care policy</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40056963" w14:textId="77777777" w:rsidR="000C25E0" w:rsidRDefault="00AB31C1">
            <w:pPr>
              <w:spacing w:after="0" w:line="240" w:lineRule="auto"/>
            </w:pPr>
            <w:r>
              <w:rPr>
                <w:sz w:val="12"/>
              </w:rPr>
              <w:t>Public commercial-policy analogue for provider-administered drug site-of-care management.</w:t>
            </w:r>
          </w:p>
        </w:tc>
        <w:tc>
          <w:tcPr>
            <w:tcW w:w="3384" w:type="dxa"/>
            <w:tcBorders>
              <w:top w:val="single" w:sz="4" w:space="0" w:color="BFD6B4"/>
              <w:left w:val="single" w:sz="4" w:space="0" w:color="BFD6B4"/>
              <w:bottom w:val="single" w:sz="4" w:space="0" w:color="BFD6B4"/>
              <w:right w:val="single" w:sz="4" w:space="0" w:color="BFD6B4"/>
            </w:tcBorders>
            <w:shd w:val="clear" w:color="auto" w:fill="FFFFFF"/>
            <w:tcMar>
              <w:top w:w="55" w:type="dxa"/>
              <w:left w:w="90" w:type="dxa"/>
              <w:bottom w:w="55" w:type="dxa"/>
              <w:right w:w="90" w:type="dxa"/>
            </w:tcMar>
            <w:vAlign w:val="center"/>
          </w:tcPr>
          <w:p w14:paraId="2AA8C752" w14:textId="77777777" w:rsidR="000C25E0" w:rsidRDefault="00AB31C1">
            <w:pPr>
              <w:spacing w:after="0" w:line="240" w:lineRule="auto"/>
            </w:pPr>
            <w:r>
              <w:rPr>
                <w:sz w:val="12"/>
              </w:rPr>
              <w:t>https://www.uhcprovider.com/content/dam/provider/docs/public/policies/index/commercial/provider-administered-drugs-soc-04012026.pdf</w:t>
            </w:r>
          </w:p>
        </w:tc>
      </w:tr>
    </w:tbl>
    <w:p w14:paraId="3BAF444C" w14:textId="77777777" w:rsidR="000C25E0" w:rsidRDefault="000C25E0">
      <w:pPr>
        <w:spacing w:after="0"/>
      </w:pPr>
    </w:p>
    <w:sectPr w:rsidR="000C25E0" w:rsidSect="00FD0F97">
      <w:headerReference w:type="even" r:id="rId7"/>
      <w:headerReference w:type="default" r:id="rId8"/>
      <w:footerReference w:type="even" r:id="rId9"/>
      <w:footerReference w:type="default" r:id="rId10"/>
      <w:headerReference w:type="first" r:id="rId11"/>
      <w:footerReference w:type="first" r:id="rId12"/>
      <w:pgSz w:w="12240" w:h="15840"/>
      <w:pgMar w:top="1555" w:right="1051" w:bottom="979" w:left="1037" w:header="0"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F997A" w14:textId="77777777" w:rsidR="002B0D10" w:rsidRDefault="002B0D10" w:rsidP="00E52EF1">
      <w:r>
        <w:separator/>
      </w:r>
    </w:p>
  </w:endnote>
  <w:endnote w:type="continuationSeparator" w:id="0">
    <w:p w14:paraId="6FE0AFCF" w14:textId="77777777" w:rsidR="002B0D10" w:rsidRDefault="002B0D10" w:rsidP="00E52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1FE0C" w14:textId="77777777" w:rsidR="00BE6F97" w:rsidRDefault="00BE6F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86C8" w14:textId="77777777" w:rsidR="00BE6F97" w:rsidRPr="00BE6F97" w:rsidRDefault="00BE6F97" w:rsidP="00BE6F97">
    <w:pPr>
      <w:tabs>
        <w:tab w:val="right" w:pos="8190"/>
      </w:tabs>
      <w:spacing w:after="0" w:line="240" w:lineRule="auto"/>
      <w:ind w:left="1800" w:right="-360"/>
      <w:jc w:val="right"/>
      <w:rPr>
        <w:sz w:val="12"/>
        <w:szCs w:val="12"/>
      </w:rPr>
    </w:pPr>
    <w:r w:rsidRPr="00BE6F97">
      <w:rPr>
        <w:sz w:val="12"/>
        <w:szCs w:val="12"/>
      </w:rPr>
      <w:t>PRO-1249-US-EN-v1</w:t>
    </w:r>
  </w:p>
  <w:p w14:paraId="62617B9C" w14:textId="4036902B" w:rsidR="00BE6F97" w:rsidRDefault="00BE6F97" w:rsidP="00BE6F97">
    <w:pPr>
      <w:tabs>
        <w:tab w:val="right" w:pos="8190"/>
      </w:tabs>
      <w:spacing w:after="0" w:line="240" w:lineRule="auto"/>
      <w:ind w:left="1800" w:right="-360"/>
      <w:jc w:val="center"/>
      <w:rPr>
        <w:sz w:val="12"/>
        <w:szCs w:val="12"/>
      </w:rPr>
    </w:pPr>
  </w:p>
  <w:p w14:paraId="6A2F8125" w14:textId="6A3CDDF1" w:rsidR="00BE6F97" w:rsidRPr="00536EEE" w:rsidRDefault="00F37168" w:rsidP="00BE6F97">
    <w:pPr>
      <w:tabs>
        <w:tab w:val="right" w:pos="8190"/>
      </w:tabs>
      <w:spacing w:after="0" w:line="240" w:lineRule="auto"/>
      <w:ind w:left="1800" w:right="-360"/>
      <w:jc w:val="right"/>
      <w:rPr>
        <w:sz w:val="12"/>
        <w:szCs w:val="12"/>
      </w:rPr>
    </w:pPr>
    <w:r w:rsidRPr="00536EEE">
      <w:rPr>
        <w:rFonts w:asciiTheme="minorHAnsi" w:hAnsiTheme="minorHAnsi" w:cstheme="minorBidi"/>
        <w:noProof/>
        <w:sz w:val="24"/>
        <w:szCs w:val="24"/>
      </w:rPr>
      <w:drawing>
        <wp:anchor distT="0" distB="0" distL="114300" distR="114300" simplePos="0" relativeHeight="251660288" behindDoc="1" locked="0" layoutInCell="1" allowOverlap="1" wp14:anchorId="173CDF1A" wp14:editId="4B32E731">
          <wp:simplePos x="0" y="0"/>
          <wp:positionH relativeFrom="column">
            <wp:posOffset>-221615</wp:posOffset>
          </wp:positionH>
          <wp:positionV relativeFrom="paragraph">
            <wp:posOffset>103505</wp:posOffset>
          </wp:positionV>
          <wp:extent cx="905256" cy="82296"/>
          <wp:effectExtent l="0" t="0" r="0" b="0"/>
          <wp:wrapTight wrapText="bothSides">
            <wp:wrapPolygon edited="0">
              <wp:start x="0" y="0"/>
              <wp:lineTo x="0" y="16744"/>
              <wp:lineTo x="16977" y="16744"/>
              <wp:lineTo x="21221" y="16744"/>
              <wp:lineTo x="21221" y="0"/>
              <wp:lineTo x="15158" y="0"/>
              <wp:lineTo x="0" y="0"/>
            </wp:wrapPolygon>
          </wp:wrapTight>
          <wp:docPr id="5" name="Picture 4">
            <a:extLst xmlns:a="http://schemas.openxmlformats.org/drawingml/2006/main">
              <a:ext uri="{FF2B5EF4-FFF2-40B4-BE49-F238E27FC236}">
                <a16:creationId xmlns:a16="http://schemas.microsoft.com/office/drawing/2014/main" id="{F7743129-6FE5-3A79-0B7A-77E6F949E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7743129-6FE5-3A79-0B7A-77E6F949EC8B}"/>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05256" cy="82296"/>
                  </a:xfrm>
                  <a:prstGeom prst="rect">
                    <a:avLst/>
                  </a:prstGeom>
                </pic:spPr>
              </pic:pic>
            </a:graphicData>
          </a:graphic>
          <wp14:sizeRelH relativeFrom="page">
            <wp14:pctWidth>0</wp14:pctWidth>
          </wp14:sizeRelH>
          <wp14:sizeRelV relativeFrom="page">
            <wp14:pctHeight>0</wp14:pctHeight>
          </wp14:sizeRelV>
        </wp:anchor>
      </w:drawing>
    </w:r>
    <w:r w:rsidRPr="00536EEE">
      <w:rPr>
        <w:sz w:val="12"/>
        <w:szCs w:val="12"/>
      </w:rPr>
      <w:t>This document contains information that is confidential and proprietary. Unless you are the intended recipient (or are authorized to receive this document for the intended recipient), you may not use, copy, disseminate, or disclose to anyone the message or any information contained in this document.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D374" w14:textId="77777777" w:rsidR="00BE6F97" w:rsidRDefault="00BE6F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92AD0" w14:textId="77777777" w:rsidR="002B0D10" w:rsidRDefault="002B0D10" w:rsidP="00E52EF1">
      <w:r>
        <w:separator/>
      </w:r>
    </w:p>
  </w:footnote>
  <w:footnote w:type="continuationSeparator" w:id="0">
    <w:p w14:paraId="3540CCEC" w14:textId="77777777" w:rsidR="002B0D10" w:rsidRDefault="002B0D10" w:rsidP="00E52E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1856" w14:textId="77777777" w:rsidR="00BE6F97" w:rsidRDefault="00BE6F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3764" w14:textId="3C1B4376" w:rsidR="00F2597C" w:rsidRDefault="00BE6F97" w:rsidP="00E52EF1">
    <w:pPr>
      <w:pStyle w:val="Header"/>
    </w:pPr>
    <w:r>
      <w:rPr>
        <w:noProof/>
      </w:rPr>
      <w:drawing>
        <wp:anchor distT="0" distB="0" distL="114300" distR="114300" simplePos="0" relativeHeight="251658240" behindDoc="1" locked="0" layoutInCell="1" allowOverlap="1" wp14:anchorId="22DE9474" wp14:editId="48CD144E">
          <wp:simplePos x="0" y="0"/>
          <wp:positionH relativeFrom="page">
            <wp:posOffset>-25380</wp:posOffset>
          </wp:positionH>
          <wp:positionV relativeFrom="paragraph">
            <wp:posOffset>-8255</wp:posOffset>
          </wp:positionV>
          <wp:extent cx="7772072" cy="10055649"/>
          <wp:effectExtent l="0" t="0" r="635" b="3175"/>
          <wp:wrapNone/>
          <wp:docPr id="5797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0979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72072" cy="10055649"/>
                  </a:xfrm>
                  <a:prstGeom prst="rect">
                    <a:avLst/>
                  </a:prstGeom>
                </pic:spPr>
              </pic:pic>
            </a:graphicData>
          </a:graphic>
          <wp14:sizeRelV relativeFrom="margin">
            <wp14:pctHeight>0</wp14:pctHeight>
          </wp14:sizeRelV>
        </wp:anchor>
      </w:drawing>
    </w:r>
    <w:r w:rsidR="00472ADD">
      <w:rPr>
        <w:noProof/>
      </w:rP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862B" w14:textId="77777777" w:rsidR="00BE6F97" w:rsidRDefault="00BE6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508"/>
    <w:multiLevelType w:val="multilevel"/>
    <w:tmpl w:val="A266D688"/>
    <w:lvl w:ilvl="0">
      <w:start w:val="1"/>
      <w:numFmt w:val="bullet"/>
      <w:lvlText w:val="l"/>
      <w:lvlJc w:val="left"/>
      <w:pPr>
        <w:ind w:left="288" w:hanging="288"/>
      </w:pPr>
      <w:rPr>
        <w:rFonts w:ascii="Wingdings" w:hAnsi="Wingdings" w:hint="default"/>
        <w:b w:val="0"/>
        <w:i w:val="0"/>
        <w:color w:val="A3CE57"/>
        <w:w w:val="100"/>
      </w:rPr>
    </w:lvl>
    <w:lvl w:ilvl="1">
      <w:start w:val="1"/>
      <w:numFmt w:val="bullet"/>
      <w:lvlText w:val="o"/>
      <w:lvlJc w:val="left"/>
      <w:pPr>
        <w:tabs>
          <w:tab w:val="num" w:pos="288"/>
        </w:tabs>
        <w:ind w:left="576" w:hanging="216"/>
      </w:pPr>
      <w:rPr>
        <w:rFonts w:ascii="Courier New" w:hAnsi="Courier New" w:hint="default"/>
        <w:color w:val="8DA198"/>
        <w:w w:val="100"/>
      </w:rPr>
    </w:lvl>
    <w:lvl w:ilvl="2">
      <w:start w:val="1"/>
      <w:numFmt w:val="bullet"/>
      <w:lvlText w:val=""/>
      <w:lvlJc w:val="left"/>
      <w:pPr>
        <w:tabs>
          <w:tab w:val="num" w:pos="288"/>
        </w:tabs>
        <w:ind w:left="864" w:hanging="144"/>
      </w:pPr>
      <w:rPr>
        <w:rFonts w:ascii="Wingdings" w:hAnsi="Wingdings" w:hint="default"/>
        <w:color w:val="8DA198"/>
      </w:rPr>
    </w:lvl>
    <w:lvl w:ilvl="3">
      <w:start w:val="1"/>
      <w:numFmt w:val="bullet"/>
      <w:suff w:val="space"/>
      <w:lvlText w:val="–"/>
      <w:lvlJc w:val="left"/>
      <w:pPr>
        <w:ind w:left="1008" w:firstLine="0"/>
      </w:pPr>
      <w:rPr>
        <w:rFonts w:ascii="Arial" w:hAnsi="Arial" w:hint="default"/>
        <w:color w:val="8DA198"/>
        <w:w w:val="90"/>
      </w:rPr>
    </w:lvl>
    <w:lvl w:ilvl="4">
      <w:start w:val="1"/>
      <w:numFmt w:val="bullet"/>
      <w:lvlText w:val="•"/>
      <w:lvlJc w:val="left"/>
      <w:pPr>
        <w:tabs>
          <w:tab w:val="num" w:pos="288"/>
        </w:tabs>
        <w:ind w:left="1296" w:firstLine="0"/>
      </w:pPr>
      <w:rPr>
        <w:rFonts w:ascii="Arial" w:hAnsi="Arial" w:hint="default"/>
        <w:color w:val="8DA198"/>
        <w:w w:val="100"/>
      </w:rPr>
    </w:lvl>
    <w:lvl w:ilvl="5">
      <w:start w:val="1"/>
      <w:numFmt w:val="bullet"/>
      <w:lvlText w:val=""/>
      <w:lvlJc w:val="left"/>
      <w:pPr>
        <w:tabs>
          <w:tab w:val="num" w:pos="1800"/>
        </w:tabs>
        <w:ind w:left="2088" w:hanging="288"/>
      </w:pPr>
      <w:rPr>
        <w:rFonts w:ascii="Wingdings" w:hAnsi="Wingdings" w:hint="default"/>
      </w:rPr>
    </w:lvl>
    <w:lvl w:ilvl="6">
      <w:start w:val="1"/>
      <w:numFmt w:val="bullet"/>
      <w:lvlText w:val=""/>
      <w:lvlJc w:val="left"/>
      <w:pPr>
        <w:ind w:left="2448" w:hanging="288"/>
      </w:pPr>
      <w:rPr>
        <w:rFonts w:ascii="Symbol" w:hAnsi="Symbol" w:hint="default"/>
      </w:rPr>
    </w:lvl>
    <w:lvl w:ilvl="7">
      <w:start w:val="1"/>
      <w:numFmt w:val="bullet"/>
      <w:lvlText w:val="o"/>
      <w:lvlJc w:val="left"/>
      <w:pPr>
        <w:ind w:left="2808" w:hanging="288"/>
      </w:pPr>
      <w:rPr>
        <w:rFonts w:ascii="Courier New" w:hAnsi="Courier New" w:hint="default"/>
      </w:rPr>
    </w:lvl>
    <w:lvl w:ilvl="8">
      <w:start w:val="1"/>
      <w:numFmt w:val="bullet"/>
      <w:lvlText w:val=""/>
      <w:lvlJc w:val="left"/>
      <w:pPr>
        <w:ind w:left="3168" w:hanging="288"/>
      </w:pPr>
      <w:rPr>
        <w:rFonts w:ascii="Wingdings" w:hAnsi="Wingdings" w:hint="default"/>
      </w:rPr>
    </w:lvl>
  </w:abstractNum>
  <w:abstractNum w:abstractNumId="1" w15:restartNumberingAfterBreak="0">
    <w:nsid w:val="57396830"/>
    <w:multiLevelType w:val="hybridMultilevel"/>
    <w:tmpl w:val="8188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3D0492"/>
    <w:multiLevelType w:val="multilevel"/>
    <w:tmpl w:val="AD3E9044"/>
    <w:lvl w:ilvl="0">
      <w:start w:val="1"/>
      <w:numFmt w:val="bullet"/>
      <w:lvlText w:val="l"/>
      <w:lvlJc w:val="left"/>
      <w:pPr>
        <w:tabs>
          <w:tab w:val="num" w:pos="0"/>
        </w:tabs>
        <w:ind w:left="288" w:hanging="288"/>
      </w:pPr>
      <w:rPr>
        <w:rFonts w:ascii="Wingdings" w:hAnsi="Wingdings" w:hint="default"/>
        <w:b w:val="0"/>
        <w:i w:val="0"/>
        <w:color w:val="A3CE57"/>
        <w:w w:val="100"/>
      </w:rPr>
    </w:lvl>
    <w:lvl w:ilvl="1">
      <w:start w:val="1"/>
      <w:numFmt w:val="bullet"/>
      <w:lvlText w:val="¡"/>
      <w:lvlJc w:val="left"/>
      <w:pPr>
        <w:ind w:left="576" w:hanging="216"/>
      </w:pPr>
      <w:rPr>
        <w:rFonts w:ascii="Wingdings" w:hAnsi="Wingdings" w:hint="default"/>
        <w:color w:val="8DA198"/>
        <w:w w:val="100"/>
      </w:rPr>
    </w:lvl>
    <w:lvl w:ilvl="2">
      <w:start w:val="1"/>
      <w:numFmt w:val="bullet"/>
      <w:lvlText w:val="–"/>
      <w:lvlJc w:val="left"/>
      <w:pPr>
        <w:ind w:left="864" w:hanging="144"/>
      </w:pPr>
      <w:rPr>
        <w:rFonts w:ascii="Arial" w:hAnsi="Arial" w:hint="default"/>
        <w:color w:val="8DA198"/>
      </w:rPr>
    </w:lvl>
    <w:lvl w:ilvl="3">
      <w:start w:val="1"/>
      <w:numFmt w:val="bullet"/>
      <w:lvlText w:val="§"/>
      <w:lvlJc w:val="left"/>
      <w:pPr>
        <w:tabs>
          <w:tab w:val="num" w:pos="0"/>
        </w:tabs>
        <w:ind w:left="1152" w:hanging="72"/>
      </w:pPr>
      <w:rPr>
        <w:rFonts w:ascii="Wingdings" w:hAnsi="Wingdings" w:hint="default"/>
        <w:color w:val="707070"/>
        <w:w w:val="90"/>
      </w:rPr>
    </w:lvl>
    <w:lvl w:ilvl="4">
      <w:start w:val="1"/>
      <w:numFmt w:val="bullet"/>
      <w:lvlText w:val="o"/>
      <w:lvlJc w:val="left"/>
      <w:pPr>
        <w:ind w:left="1440" w:firstLine="0"/>
      </w:pPr>
      <w:rPr>
        <w:rFonts w:ascii="Courier New" w:hAnsi="Courier New" w:hint="default"/>
        <w:color w:val="8DA198"/>
      </w:rPr>
    </w:lvl>
    <w:lvl w:ilvl="5">
      <w:start w:val="1"/>
      <w:numFmt w:val="bullet"/>
      <w:lvlText w:val=""/>
      <w:lvlJc w:val="left"/>
      <w:pPr>
        <w:tabs>
          <w:tab w:val="num" w:pos="1800"/>
        </w:tabs>
        <w:ind w:left="2088" w:hanging="288"/>
      </w:pPr>
      <w:rPr>
        <w:rFonts w:ascii="Wingdings" w:hAnsi="Wingdings" w:hint="default"/>
      </w:rPr>
    </w:lvl>
    <w:lvl w:ilvl="6">
      <w:start w:val="1"/>
      <w:numFmt w:val="bullet"/>
      <w:lvlText w:val=""/>
      <w:lvlJc w:val="left"/>
      <w:pPr>
        <w:ind w:left="2448" w:hanging="288"/>
      </w:pPr>
      <w:rPr>
        <w:rFonts w:ascii="Symbol" w:hAnsi="Symbol" w:hint="default"/>
      </w:rPr>
    </w:lvl>
    <w:lvl w:ilvl="7">
      <w:start w:val="1"/>
      <w:numFmt w:val="bullet"/>
      <w:lvlText w:val="o"/>
      <w:lvlJc w:val="left"/>
      <w:pPr>
        <w:ind w:left="2808" w:hanging="288"/>
      </w:pPr>
      <w:rPr>
        <w:rFonts w:ascii="Courier New" w:hAnsi="Courier New" w:hint="default"/>
      </w:rPr>
    </w:lvl>
    <w:lvl w:ilvl="8">
      <w:start w:val="1"/>
      <w:numFmt w:val="bullet"/>
      <w:lvlText w:val=""/>
      <w:lvlJc w:val="left"/>
      <w:pPr>
        <w:ind w:left="3168" w:hanging="288"/>
      </w:pPr>
      <w:rPr>
        <w:rFonts w:ascii="Wingdings" w:hAnsi="Wingdings" w:hint="default"/>
      </w:rPr>
    </w:lvl>
  </w:abstractNum>
  <w:num w:numId="1" w16cid:durableId="1049651072">
    <w:abstractNumId w:val="1"/>
  </w:num>
  <w:num w:numId="2" w16cid:durableId="235286085">
    <w:abstractNumId w:val="2"/>
  </w:num>
  <w:num w:numId="3" w16cid:durableId="170487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97C"/>
    <w:rsid w:val="000367F0"/>
    <w:rsid w:val="00054CCD"/>
    <w:rsid w:val="00090271"/>
    <w:rsid w:val="00095F63"/>
    <w:rsid w:val="000B282B"/>
    <w:rsid w:val="000B7519"/>
    <w:rsid w:val="000C25E0"/>
    <w:rsid w:val="00165EC0"/>
    <w:rsid w:val="001C1396"/>
    <w:rsid w:val="00242A9B"/>
    <w:rsid w:val="00247FA2"/>
    <w:rsid w:val="00255CBE"/>
    <w:rsid w:val="00264DEE"/>
    <w:rsid w:val="00266419"/>
    <w:rsid w:val="002B0D10"/>
    <w:rsid w:val="002E3C2F"/>
    <w:rsid w:val="00334952"/>
    <w:rsid w:val="00346A76"/>
    <w:rsid w:val="00394384"/>
    <w:rsid w:val="003F28F8"/>
    <w:rsid w:val="0042005A"/>
    <w:rsid w:val="00462BC7"/>
    <w:rsid w:val="00466EE3"/>
    <w:rsid w:val="00472ADD"/>
    <w:rsid w:val="004D5B2D"/>
    <w:rsid w:val="00501774"/>
    <w:rsid w:val="0053635D"/>
    <w:rsid w:val="00536EEE"/>
    <w:rsid w:val="00552B43"/>
    <w:rsid w:val="0058694E"/>
    <w:rsid w:val="0059274C"/>
    <w:rsid w:val="006405D2"/>
    <w:rsid w:val="006639B0"/>
    <w:rsid w:val="00677555"/>
    <w:rsid w:val="006D4D99"/>
    <w:rsid w:val="0078256C"/>
    <w:rsid w:val="007D2B9F"/>
    <w:rsid w:val="007E51AD"/>
    <w:rsid w:val="007F616A"/>
    <w:rsid w:val="007F75DA"/>
    <w:rsid w:val="00817102"/>
    <w:rsid w:val="008C3861"/>
    <w:rsid w:val="008D379C"/>
    <w:rsid w:val="00931D8F"/>
    <w:rsid w:val="009E0911"/>
    <w:rsid w:val="00A12CE7"/>
    <w:rsid w:val="00A9725E"/>
    <w:rsid w:val="00AB31C1"/>
    <w:rsid w:val="00AD26D4"/>
    <w:rsid w:val="00AE5E52"/>
    <w:rsid w:val="00AF50DE"/>
    <w:rsid w:val="00BB5B33"/>
    <w:rsid w:val="00BC0519"/>
    <w:rsid w:val="00BC41E8"/>
    <w:rsid w:val="00BE47B9"/>
    <w:rsid w:val="00BE6F97"/>
    <w:rsid w:val="00C32EAD"/>
    <w:rsid w:val="00C4732E"/>
    <w:rsid w:val="00D14659"/>
    <w:rsid w:val="00D43393"/>
    <w:rsid w:val="00D574AA"/>
    <w:rsid w:val="00DA1973"/>
    <w:rsid w:val="00DC009C"/>
    <w:rsid w:val="00E14D6E"/>
    <w:rsid w:val="00E4713A"/>
    <w:rsid w:val="00E52EF1"/>
    <w:rsid w:val="00E62070"/>
    <w:rsid w:val="00F2597C"/>
    <w:rsid w:val="00F37168"/>
    <w:rsid w:val="00F4185D"/>
    <w:rsid w:val="00F63893"/>
    <w:rsid w:val="00F96CB4"/>
    <w:rsid w:val="00FA5CE0"/>
    <w:rsid w:val="00FD0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D7AB"/>
  <w15:chartTrackingRefBased/>
  <w15:docId w15:val="{5EAE5FE6-7A13-654D-9C22-01C993417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EF1"/>
    <w:pPr>
      <w:spacing w:after="84" w:line="250" w:lineRule="auto"/>
    </w:pPr>
    <w:rPr>
      <w:rFonts w:ascii="Arial" w:eastAsiaTheme="minorEastAsia" w:hAnsi="Arial" w:cs="Arial"/>
      <w:color w:val="394344"/>
      <w:sz w:val="18"/>
      <w:szCs w:val="20"/>
    </w:rPr>
  </w:style>
  <w:style w:type="paragraph" w:styleId="Heading1">
    <w:name w:val="heading 1"/>
    <w:basedOn w:val="Normal"/>
    <w:next w:val="Normal"/>
    <w:link w:val="Heading1Char"/>
    <w:uiPriority w:val="9"/>
    <w:qFormat/>
    <w:rsid w:val="00E52EF1"/>
    <w:pPr>
      <w:spacing w:after="320"/>
      <w:outlineLvl w:val="0"/>
    </w:pPr>
    <w:rPr>
      <w:color w:val="315C2D"/>
      <w:sz w:val="36"/>
      <w:szCs w:val="36"/>
    </w:rPr>
  </w:style>
  <w:style w:type="paragraph" w:styleId="Heading2">
    <w:name w:val="heading 2"/>
    <w:basedOn w:val="Normal"/>
    <w:next w:val="Normal"/>
    <w:link w:val="Heading2Char"/>
    <w:uiPriority w:val="9"/>
    <w:unhideWhenUsed/>
    <w:qFormat/>
    <w:rsid w:val="00E52EF1"/>
    <w:pPr>
      <w:outlineLvl w:val="1"/>
    </w:pPr>
    <w:rPr>
      <w:color w:val="95CF40"/>
      <w:sz w:val="28"/>
      <w:szCs w:val="28"/>
    </w:rPr>
  </w:style>
  <w:style w:type="paragraph" w:styleId="Heading3">
    <w:name w:val="heading 3"/>
    <w:basedOn w:val="Heading2"/>
    <w:next w:val="Normal"/>
    <w:link w:val="Heading3Char"/>
    <w:uiPriority w:val="9"/>
    <w:unhideWhenUsed/>
    <w:qFormat/>
    <w:rsid w:val="00090271"/>
    <w:pPr>
      <w:outlineLvl w:val="2"/>
    </w:pPr>
    <w:rPr>
      <w:b/>
      <w:bCs/>
      <w:color w:val="636466" w:themeColor="background2"/>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597C"/>
    <w:pPr>
      <w:tabs>
        <w:tab w:val="center" w:pos="4680"/>
        <w:tab w:val="right" w:pos="9360"/>
      </w:tabs>
    </w:pPr>
  </w:style>
  <w:style w:type="character" w:customStyle="1" w:styleId="HeaderChar">
    <w:name w:val="Header Char"/>
    <w:basedOn w:val="DefaultParagraphFont"/>
    <w:link w:val="Header"/>
    <w:uiPriority w:val="99"/>
    <w:rsid w:val="00F2597C"/>
  </w:style>
  <w:style w:type="paragraph" w:styleId="Footer">
    <w:name w:val="footer"/>
    <w:basedOn w:val="Normal"/>
    <w:link w:val="FooterChar"/>
    <w:uiPriority w:val="99"/>
    <w:unhideWhenUsed/>
    <w:rsid w:val="00F2597C"/>
    <w:pPr>
      <w:tabs>
        <w:tab w:val="center" w:pos="4680"/>
        <w:tab w:val="right" w:pos="9360"/>
      </w:tabs>
    </w:pPr>
  </w:style>
  <w:style w:type="character" w:customStyle="1" w:styleId="FooterChar">
    <w:name w:val="Footer Char"/>
    <w:basedOn w:val="DefaultParagraphFont"/>
    <w:link w:val="Footer"/>
    <w:uiPriority w:val="99"/>
    <w:rsid w:val="00F2597C"/>
  </w:style>
  <w:style w:type="paragraph" w:styleId="NormalWeb">
    <w:name w:val="Normal (Web)"/>
    <w:basedOn w:val="Normal"/>
    <w:uiPriority w:val="99"/>
    <w:semiHidden/>
    <w:unhideWhenUsed/>
    <w:rsid w:val="003F28F8"/>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52EF1"/>
    <w:rPr>
      <w:rFonts w:ascii="Arial" w:eastAsiaTheme="minorEastAsia" w:hAnsi="Arial" w:cs="Arial"/>
      <w:color w:val="315C2D"/>
      <w:sz w:val="36"/>
      <w:szCs w:val="36"/>
    </w:rPr>
  </w:style>
  <w:style w:type="character" w:customStyle="1" w:styleId="Heading2Char">
    <w:name w:val="Heading 2 Char"/>
    <w:basedOn w:val="DefaultParagraphFont"/>
    <w:link w:val="Heading2"/>
    <w:uiPriority w:val="9"/>
    <w:rsid w:val="00E52EF1"/>
    <w:rPr>
      <w:rFonts w:ascii="Arial" w:eastAsiaTheme="minorEastAsia" w:hAnsi="Arial" w:cs="Arial"/>
      <w:color w:val="95CF40"/>
      <w:sz w:val="28"/>
      <w:szCs w:val="28"/>
    </w:rPr>
  </w:style>
  <w:style w:type="character" w:customStyle="1" w:styleId="Heading3Char">
    <w:name w:val="Heading 3 Char"/>
    <w:basedOn w:val="DefaultParagraphFont"/>
    <w:link w:val="Heading3"/>
    <w:uiPriority w:val="9"/>
    <w:rsid w:val="00090271"/>
    <w:rPr>
      <w:rFonts w:ascii="Arial" w:eastAsiaTheme="minorEastAsia" w:hAnsi="Arial" w:cs="Arial"/>
      <w:b/>
      <w:bCs/>
      <w:color w:val="636466" w:themeColor="background2"/>
      <w:sz w:val="20"/>
      <w:szCs w:val="20"/>
    </w:rPr>
  </w:style>
  <w:style w:type="paragraph" w:styleId="ListParagraph">
    <w:name w:val="List Paragraph"/>
    <w:basedOn w:val="Normal"/>
    <w:uiPriority w:val="34"/>
    <w:qFormat/>
    <w:rsid w:val="000902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543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Navisync Branding New Palette">
  <a:themeElements>
    <a:clrScheme name="NaviSync">
      <a:dk1>
        <a:srgbClr val="A3CF58"/>
      </a:dk1>
      <a:lt1>
        <a:srgbClr val="305C2C"/>
      </a:lt1>
      <a:dk2>
        <a:srgbClr val="8FA29A"/>
      </a:dk2>
      <a:lt2>
        <a:srgbClr val="636466"/>
      </a:lt2>
      <a:accent1>
        <a:srgbClr val="F3F1EE"/>
      </a:accent1>
      <a:accent2>
        <a:srgbClr val="859576"/>
      </a:accent2>
      <a:accent3>
        <a:srgbClr val="D3E7B1"/>
      </a:accent3>
      <a:accent4>
        <a:srgbClr val="EFEADE"/>
      </a:accent4>
      <a:accent5>
        <a:srgbClr val="FFFCFC"/>
      </a:accent5>
      <a:accent6>
        <a:srgbClr val="FFFCFC"/>
      </a:accent6>
      <a:hlink>
        <a:srgbClr val="F7F4F3"/>
      </a:hlink>
      <a:folHlink>
        <a:srgbClr val="F7F4F3"/>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Navisync Branding New Palette" id="{2501A463-C149-F34D-827D-FAEA6F8A0090}" vid="{4CF274B6-204A-B44E-8D5D-C66E8FB5630F}"/>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2011</Words>
  <Characters>11467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Adrabetadex Provider Net Cost Recovery Model</vt:lpstr>
    </vt:vector>
  </TitlesOfParts>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Adrabetadex Provider Net Cost Recovery Model</dc:title>
  <dc:subject>Revised executive brief for Beren Therapeutics provider net cost model planning</dc:subject>
  <dc:creator>Navisync reimbursement and health policy team</dc:creator>
  <cp:keywords>Adrabetadex, provider net cost recovery, buy-and-bill, HCPCS, pass-through, Medicaid, 340B</cp:keywords>
  <dc:description/>
  <cp:lastModifiedBy>Joseph Stewart</cp:lastModifiedBy>
  <cp:revision>4</cp:revision>
  <dcterms:created xsi:type="dcterms:W3CDTF">2026-04-28T05:20:00Z</dcterms:created>
  <dcterms:modified xsi:type="dcterms:W3CDTF">2026-04-28T05:33:00Z</dcterms:modified>
</cp:coreProperties>
</file>