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192"/>
        <w:gridCol w:w="4320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  <w:r>
              <w:rPr>
                <w:b/>
                <w:color w:val="2D444B"/>
                <w:sz w:val="26"/>
              </w:rPr>
              <w:t>JL Policy Consulting, LLC</w:t>
            </w:r>
          </w:p>
          <w:p>
            <w:r>
              <w:rPr>
                <w:color w:val="61686C"/>
                <w:sz w:val="18"/>
              </w:rPr>
              <w:t>Joseph L. Stewart, MPH, CPhT</w:t>
            </w:r>
          </w:p>
          <w:p>
            <w:r>
              <w:rPr>
                <w:color w:val="61686C"/>
                <w:sz w:val="18"/>
              </w:rPr>
              <w:t>Managing Director, Health Policy &amp; Reimbursement</w:t>
            </w:r>
          </w:p>
          <w:p>
            <w:r>
              <w:rPr>
                <w:color w:val="61686C"/>
                <w:sz w:val="18"/>
              </w:rPr>
              <w:t>Joseph.Stewart@JLPolicyConsulting.com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rPr>
                <w:b/>
                <w:color w:val="2D444B"/>
                <w:sz w:val="40"/>
              </w:rPr>
              <w:t>INVOICE</w:t>
            </w:r>
          </w:p>
          <w:p>
            <w:pPr>
              <w:jc w:val="right"/>
            </w:pPr>
            <w:r>
              <w:rPr>
                <w:b/>
                <w:color w:val="61686C"/>
                <w:sz w:val="17"/>
              </w:rPr>
              <w:t xml:space="preserve">Invoice Number: </w:t>
            </w:r>
            <w:r>
              <w:rPr>
                <w:sz w:val="17"/>
              </w:rPr>
              <w:t>JLPC-2026-0501-ADRA</w:t>
            </w:r>
          </w:p>
          <w:p>
            <w:pPr>
              <w:jc w:val="right"/>
            </w:pPr>
            <w:r>
              <w:rPr>
                <w:b/>
                <w:color w:val="61686C"/>
                <w:sz w:val="17"/>
              </w:rPr>
              <w:t xml:space="preserve">Invoice Date: </w:t>
            </w:r>
            <w:r>
              <w:rPr>
                <w:sz w:val="17"/>
              </w:rPr>
              <w:t>May 1, 2026</w:t>
            </w:r>
          </w:p>
          <w:p>
            <w:pPr>
              <w:jc w:val="right"/>
            </w:pPr>
            <w:r>
              <w:rPr>
                <w:b/>
                <w:color w:val="61686C"/>
                <w:sz w:val="17"/>
              </w:rPr>
              <w:t xml:space="preserve">Service Period: </w:t>
            </w:r>
            <w:r>
              <w:rPr>
                <w:sz w:val="17"/>
              </w:rPr>
              <w:t>March 18, 2026 - May 1, 2026</w:t>
            </w:r>
          </w:p>
          <w:p>
            <w:pPr>
              <w:jc w:val="right"/>
            </w:pPr>
            <w:r>
              <w:rPr>
                <w:b/>
                <w:color w:val="61686C"/>
                <w:sz w:val="17"/>
              </w:rPr>
              <w:t xml:space="preserve">Payment Terms: </w:t>
            </w:r>
            <w:r>
              <w:rPr>
                <w:sz w:val="17"/>
              </w:rPr>
              <w:t>Net 30</w:t>
            </w:r>
          </w:p>
          <w:p>
            <w:pPr>
              <w:jc w:val="right"/>
            </w:pPr>
            <w:r>
              <w:rPr>
                <w:b/>
                <w:color w:val="61686C"/>
                <w:sz w:val="17"/>
              </w:rPr>
              <w:t xml:space="preserve">Currency: </w:t>
            </w:r>
            <w:r>
              <w:rPr>
                <w:sz w:val="17"/>
              </w:rPr>
              <w:t>USD</w:t>
            </w:r>
          </w:p>
        </w:tc>
      </w:tr>
    </w:tbl>
    <w:p>
      <w:pPr>
        <w:spacing w:before="80" w:after="140"/>
        <w:pBdr>
          <w:bottom w:val="single" w:sz="8" w:space="1" w:color="2D444B"/>
        </w:pBd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616"/>
        <w:gridCol w:w="4752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  <w:r>
              <w:rPr>
                <w:b/>
                <w:color w:val="2D444B"/>
                <w:sz w:val="18"/>
              </w:rPr>
              <w:t>Bill To</w:t>
            </w:r>
          </w:p>
          <w:p>
            <w:r>
              <w:rPr>
                <w:sz w:val="18"/>
              </w:rPr>
              <w:t>Navisync / Beren Therapeutics Launch Team</w:t>
            </w:r>
          </w:p>
          <w:p>
            <w:r>
              <w:rPr>
                <w:color w:val="61686C"/>
                <w:sz w:val="17"/>
              </w:rPr>
              <w:t>Adrabetadex / Navisync reimbursement, launch access, and provider economics support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rPr>
                <w:b/>
                <w:color w:val="2D444B"/>
                <w:sz w:val="18"/>
              </w:rPr>
              <w:t>Summary</w:t>
            </w:r>
          </w:p>
          <w:p>
            <w:pPr>
              <w:jc w:val="right"/>
            </w:pPr>
            <w:r>
              <w:rPr>
                <w:b/>
                <w:color w:val="61686C"/>
                <w:sz w:val="18"/>
              </w:rPr>
              <w:t xml:space="preserve">Hours: </w:t>
            </w:r>
            <w:r>
              <w:rPr>
                <w:sz w:val="18"/>
              </w:rPr>
              <w:t>49.0</w:t>
            </w:r>
          </w:p>
          <w:p>
            <w:pPr>
              <w:jc w:val="right"/>
            </w:pPr>
            <w:r>
              <w:rPr>
                <w:b/>
                <w:color w:val="61686C"/>
                <w:sz w:val="18"/>
              </w:rPr>
              <w:t xml:space="preserve">Rate: </w:t>
            </w:r>
            <w:r>
              <w:rPr>
                <w:sz w:val="18"/>
              </w:rPr>
              <w:t>$200.00 / hour</w:t>
            </w:r>
          </w:p>
          <w:p>
            <w:pPr>
              <w:jc w:val="right"/>
            </w:pPr>
            <w:r>
              <w:rPr>
                <w:b/>
                <w:color w:val="61686C"/>
                <w:sz w:val="18"/>
              </w:rPr>
              <w:t xml:space="preserve">Total Due: </w:t>
            </w:r>
            <w:r>
              <w:rPr>
                <w:b/>
                <w:color w:val="2D444B"/>
                <w:sz w:val="18"/>
              </w:rPr>
              <w:t>$9,800.00</w:t>
            </w:r>
          </w:p>
        </w:tc>
      </w:tr>
    </w:tbl>
    <w:p>
      <w:pPr>
        <w:spacing w:before="140" w:after="80"/>
      </w:pPr>
      <w:r>
        <w:rPr>
          <w:b/>
          <w:color w:val="2D444B"/>
          <w:sz w:val="22"/>
        </w:rPr>
        <w:t>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5544"/>
        <w:gridCol w:w="835"/>
        <w:gridCol w:w="1123"/>
        <w:gridCol w:w="1181"/>
      </w:tblGrid>
      <w:tr>
        <w:tc>
          <w:tcPr>
            <w:tcW w:type="dxa" w:w="1987"/>
            <w:vAlign w:val="center"/>
            <w:shd w:fill="2D444B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Date / time evidence</w:t>
            </w:r>
          </w:p>
        </w:tc>
        <w:tc>
          <w:tcPr>
            <w:tcW w:type="dxa" w:w="5544"/>
            <w:vAlign w:val="center"/>
            <w:shd w:fill="2D444B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Project / deliverable</w:t>
            </w:r>
          </w:p>
        </w:tc>
        <w:tc>
          <w:tcPr>
            <w:tcW w:type="dxa" w:w="835"/>
            <w:vAlign w:val="center"/>
            <w:shd w:fill="2D444B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Hours</w:t>
            </w:r>
          </w:p>
        </w:tc>
        <w:tc>
          <w:tcPr>
            <w:tcW w:type="dxa" w:w="1123"/>
            <w:vAlign w:val="center"/>
            <w:shd w:fill="2D444B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Rate</w:t>
            </w:r>
          </w:p>
        </w:tc>
        <w:tc>
          <w:tcPr>
            <w:tcW w:type="dxa" w:w="1181"/>
            <w:vAlign w:val="center"/>
            <w:shd w:fill="2D444B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Amount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Mar. 29 11:26 PM - Mar. 30 10:05 PM EDT</w:t>
            </w:r>
          </w:p>
        </w:tc>
        <w:tc>
          <w:tcPr>
            <w:tcW w:type="dxa" w:w="554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Adrabetadex/Navisync provider net-cost concept package: initial model framing, MLR/HOPD/HCPCS/pass-through background documents, Navisync letterhead brief, and final combined PDF.</w:t>
            </w:r>
          </w:p>
        </w:tc>
        <w:tc>
          <w:tcPr>
            <w:tcW w:type="dxa" w:w="8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11.0</w:t>
            </w:r>
          </w:p>
        </w:tc>
        <w:tc>
          <w:tcPr>
            <w:tcW w:type="dxa" w:w="112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$200.00</w:t>
            </w:r>
          </w:p>
        </w:tc>
        <w:tc>
          <w:tcPr>
            <w:tcW w:type="dxa" w:w="11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$2,200.00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Apr. 19 2:30 PM - Apr. 23 9:48 AM EDT</w:t>
            </w:r>
          </w:p>
        </w:tc>
        <w:tc>
          <w:tcPr>
            <w:tcW w:type="dxa" w:w="554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Adrabetadex Provider Net Cost Recovery Calculator: six-tab workbook, scenario selector, formula guardrails, README implementation spec, and ARM output PDF workflow.</w:t>
            </w:r>
          </w:p>
        </w:tc>
        <w:tc>
          <w:tcPr>
            <w:tcW w:type="dxa" w:w="8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9.0</w:t>
            </w:r>
          </w:p>
        </w:tc>
        <w:tc>
          <w:tcPr>
            <w:tcW w:type="dxa" w:w="112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$200.00</w:t>
            </w:r>
          </w:p>
        </w:tc>
        <w:tc>
          <w:tcPr>
            <w:tcW w:type="dxa" w:w="11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$1,800.00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Apr. 22 3:22 AM - Apr. 22 9:18 PM EDT</w:t>
            </w:r>
          </w:p>
        </w:tc>
        <w:tc>
          <w:tcPr>
            <w:tcW w:type="dxa" w:w="554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Adrabetadex ARM training package and delivery bundle: fact matrix, provider billing reference, ARM training guide, full training deck, executive deck, workbook, and one-page PDF summary.</w:t>
            </w:r>
          </w:p>
        </w:tc>
        <w:tc>
          <w:tcPr>
            <w:tcW w:type="dxa" w:w="8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10.0</w:t>
            </w:r>
          </w:p>
        </w:tc>
        <w:tc>
          <w:tcPr>
            <w:tcW w:type="dxa" w:w="112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$200.00</w:t>
            </w:r>
          </w:p>
        </w:tc>
        <w:tc>
          <w:tcPr>
            <w:tcW w:type="dxa" w:w="11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$2,000.00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Apr. 23 9:36 AM - Apr. 23 10:09 AM EDT</w:t>
            </w:r>
          </w:p>
        </w:tc>
        <w:tc>
          <w:tcPr>
            <w:tcW w:type="dxa" w:w="554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Final Adrabetadex DOCX/PDF clean pass: hierarchy normalization, terminology cleanup, PDF conversion, and package tidying across the client-presentable and training-materials folders.</w:t>
            </w:r>
          </w:p>
        </w:tc>
        <w:tc>
          <w:tcPr>
            <w:tcW w:type="dxa" w:w="8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112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$200.00</w:t>
            </w:r>
          </w:p>
        </w:tc>
        <w:tc>
          <w:tcPr>
            <w:tcW w:type="dxa" w:w="11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$500.00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Apr. 26 6:22 PM - Apr. 26 8:23 PM EDT</w:t>
            </w:r>
          </w:p>
        </w:tc>
        <w:tc>
          <w:tcPr>
            <w:tcW w:type="dxa" w:w="554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Adrabetadex MLR concept brief and Navisync client-facing calculator brief: DOCX/PDF iterations, source note, and client-facing reimbursement framing.</w:t>
            </w:r>
          </w:p>
        </w:tc>
        <w:tc>
          <w:tcPr>
            <w:tcW w:type="dxa" w:w="8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5.5</w:t>
            </w:r>
          </w:p>
        </w:tc>
        <w:tc>
          <w:tcPr>
            <w:tcW w:type="dxa" w:w="112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$200.00</w:t>
            </w:r>
          </w:p>
        </w:tc>
        <w:tc>
          <w:tcPr>
            <w:tcW w:type="dxa" w:w="11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$1,100.00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Apr. 27 9:17 PM EDT</w:t>
            </w:r>
          </w:p>
        </w:tc>
        <w:tc>
          <w:tcPr>
            <w:tcW w:type="dxa" w:w="554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Adrabetadex Provider Economics and Adoption Risk executive brief: PowerPoint and PDF build using Navisync-style presentation treatment and preview checks.</w:t>
            </w:r>
          </w:p>
        </w:tc>
        <w:tc>
          <w:tcPr>
            <w:tcW w:type="dxa" w:w="8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112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$200.00</w:t>
            </w:r>
          </w:p>
        </w:tc>
        <w:tc>
          <w:tcPr>
            <w:tcW w:type="dxa" w:w="11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$800.00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Apr. 28 12:32 AM - Apr. 28 1:38 AM EDT</w:t>
            </w:r>
          </w:p>
        </w:tc>
        <w:tc>
          <w:tcPr>
            <w:tcW w:type="dxa" w:w="554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Adrabetadex Provider Net Cost Recovery Model concept brief: DOCX/PDF built from Navisync template and prior source documents, with table-heavy reimbursement model presentation.</w:t>
            </w:r>
          </w:p>
        </w:tc>
        <w:tc>
          <w:tcPr>
            <w:tcW w:type="dxa" w:w="8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5.0</w:t>
            </w:r>
          </w:p>
        </w:tc>
        <w:tc>
          <w:tcPr>
            <w:tcW w:type="dxa" w:w="112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$200.00</w:t>
            </w:r>
          </w:p>
        </w:tc>
        <w:tc>
          <w:tcPr>
            <w:tcW w:type="dxa" w:w="11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$1,000.00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Apr. 28 10:40 PM - Apr. 28 10:58 PM EDT</w:t>
            </w:r>
          </w:p>
        </w:tc>
        <w:tc>
          <w:tcPr>
            <w:tcW w:type="dxa" w:w="554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Adrabetadex concept brief PDF comparison and QA report: text extraction, visual overlays, rendered page checks, difference report, and delivery flags.</w:t>
            </w:r>
          </w:p>
        </w:tc>
        <w:tc>
          <w:tcPr>
            <w:tcW w:type="dxa" w:w="8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2.0</w:t>
            </w:r>
          </w:p>
        </w:tc>
        <w:tc>
          <w:tcPr>
            <w:tcW w:type="dxa" w:w="112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$200.00</w:t>
            </w:r>
          </w:p>
        </w:tc>
        <w:tc>
          <w:tcPr>
            <w:tcW w:type="dxa" w:w="11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sz="4" w:val="single" w:color="D9DFE2" w:space="0"/>
              <w:left w:sz="4" w:val="single" w:color="D9DFE2" w:space="0"/>
              <w:bottom w:sz="4" w:val="single" w:color="D9DFE2" w:space="0"/>
              <w:right w:sz="4" w:val="single" w:color="D9DFE2" w:space="0"/>
            </w:tcBorders>
          </w:tcPr>
          <w:p>
            <w:pPr>
              <w:jc w:val="right"/>
            </w:pPr>
            <w:r/>
            <w:r>
              <w:rPr>
                <w:b w:val="0"/>
                <w:sz w:val="15"/>
              </w:rPr>
              <w:t>$400.00</w:t>
            </w:r>
          </w:p>
        </w:tc>
      </w:tr>
    </w:tbl>
    <w:p>
      <w:pPr>
        <w:spacing w:after="2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728"/>
        <w:gridCol w:w="1728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/>
            <w:r>
              <w:rPr>
                <w:b w:val="0"/>
                <w:color w:val="61686C"/>
                <w:sz w:val="17"/>
              </w:rPr>
              <w:t>Subtotal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$9,800.00</w:t>
            </w:r>
          </w:p>
        </w:tc>
      </w:tr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/>
            <w:r>
              <w:rPr>
                <w:b w:val="0"/>
                <w:color w:val="61686C"/>
                <w:sz w:val="17"/>
              </w:rPr>
              <w:t>Expenses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$0.00</w:t>
            </w:r>
          </w:p>
        </w:tc>
      </w:tr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/>
            <w:r>
              <w:rPr>
                <w:b/>
                <w:color w:val="2D444B"/>
                <w:sz w:val="17"/>
              </w:rPr>
              <w:t>TOTAL DUE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/>
            <w:r>
              <w:rPr>
                <w:b/>
                <w:color w:val="2D444B"/>
                <w:sz w:val="17"/>
              </w:rPr>
              <w:t>$9,800.00</w:t>
            </w:r>
          </w:p>
        </w:tc>
      </w:tr>
    </w:tbl>
    <w:p>
      <w:pPr>
        <w:spacing w:before="120" w:after="40"/>
      </w:pPr>
      <w:r>
        <w:rPr>
          <w:b/>
          <w:color w:val="2D444B"/>
          <w:sz w:val="19"/>
        </w:rPr>
        <w:t>Notes</w:t>
      </w:r>
    </w:p>
    <w:p>
      <w:pPr>
        <w:spacing w:after="20"/>
        <w:ind w:left="230" w:hanging="230"/>
      </w:pPr>
      <w:r>
        <w:rPr>
          <w:color w:val="61686C"/>
          <w:sz w:val="15"/>
        </w:rPr>
        <w:t>- Line items are limited to Adrabetadex/Navisync work and exclude unrelated website, resume, SPUF, and other project work.</w:t>
      </w:r>
    </w:p>
    <w:p>
      <w:pPr>
        <w:spacing w:after="20"/>
        <w:ind w:left="230" w:hanging="230"/>
      </w:pPr>
      <w:r>
        <w:rPr>
          <w:color w:val="61686C"/>
          <w:sz w:val="15"/>
        </w:rPr>
        <w:t>- Hours are line-item allocations based on reviewed deliverable timestamps, repository artifacts, and project records. No expenses are included.</w:t>
      </w:r>
    </w:p>
    <w:p>
      <w:pPr>
        <w:spacing w:after="20"/>
        <w:ind w:left="230" w:hanging="230"/>
      </w:pPr>
      <w:r>
        <w:rPr>
          <w:color w:val="61686C"/>
          <w:sz w:val="15"/>
        </w:rPr>
        <w:t>- Payment instructions can be provided separately.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86C"/>
        <w:sz w:val="15"/>
      </w:rPr>
      <w:t>JL Policy Consulting, LLC | Invoice JLPC-2026-0501-ADRA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JLPC-2026-0501-ADRA</dc:title>
  <dc:subject>Adrabetadex / Navisync hourly invoice</dc:subject>
  <dc:creator>JL Policy Consulting,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