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0"/>
        </w:rPr>
        <w:t>JL Policy Consulting, LLC | Hourly Invoice</w:t>
      </w:r>
    </w:p>
    <w:p>
      <w:pPr>
        <w:spacing w:after="160"/>
        <w:jc w:val="center"/>
      </w:pPr>
      <w:r>
        <w:rPr>
          <w:sz w:val="18"/>
        </w:rPr>
        <w:t>Navisync / Beren Therapeutics Launch Team / Adrabetadex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AAABE"/>
          <w:left w:val="single" w:sz="4" w:space="0" w:color="9AAABE"/>
          <w:bottom w:val="single" w:sz="4" w:space="0" w:color="9AAABE"/>
          <w:right w:val="single" w:sz="4" w:space="0" w:color="9AAABE"/>
          <w:insideH w:val="single" w:sz="4" w:space="0" w:color="9AAABE"/>
          <w:insideV w:val="single" w:sz="4" w:space="0" w:color="9AAABE"/>
        </w:tblBorders>
      </w:tblPr>
      <w:tblGrid>
        <w:gridCol w:w="7272"/>
        <w:gridCol w:w="7272"/>
      </w:tblGrid>
      <w:tr>
        <w:tc>
          <w:tcPr>
            <w:tcW w:type="dxa" w:w="7272"/>
            <w:shd w:fill="F8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JL Policy Consulting, LLC</w:t>
              <w:br/>
              <w:t>Joseph L. Stewart, MPH, CPhT</w:t>
              <w:br/>
              <w:t>Managing Director, Health Policy &amp; Reimbursement</w:t>
              <w:br/>
              <w:t>Joseph.Stewart@JLPolicyConsulting.com</w:t>
            </w:r>
          </w:p>
        </w:tc>
        <w:tc>
          <w:tcPr>
            <w:tcW w:type="dxa" w:w="7272"/>
            <w:shd w:fill="F8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Invoice Number: JLPC-2026-0501-ADRA-BEREN</w:t>
              <w:br/>
              <w:t>Invoice Date: May 1, 2026</w:t>
              <w:br/>
              <w:t>Service Period: March 18, 2026 - May 1, 2026</w:t>
              <w:br/>
              <w:t>Payment Terms: Net 30</w:t>
              <w:br/>
              <w:t>Currency: USD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D"/>
          <w:left w:val="single" w:sz="4" w:space="0" w:color="C7D1DD"/>
          <w:bottom w:val="single" w:sz="4" w:space="0" w:color="C7D1DD"/>
          <w:right w:val="single" w:sz="4" w:space="0" w:color="C7D1DD"/>
          <w:insideH w:val="single" w:sz="4" w:space="0" w:color="C7D1DD"/>
          <w:insideV w:val="single" w:sz="4" w:space="0" w:color="C7D1DD"/>
        </w:tblBorders>
      </w:tblPr>
      <w:tblGrid>
        <w:gridCol w:w="7272"/>
        <w:gridCol w:w="7272"/>
      </w:tblGrid>
      <w:tr>
        <w:tc>
          <w:tcPr>
            <w:tcW w:type="dxa" w:w="1584"/>
            <w:vAlign w:val="center"/>
            <w:shd w:fill="EEF4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Bill To</w:t>
            </w:r>
          </w:p>
        </w:tc>
        <w:tc>
          <w:tcPr>
            <w:tcW w:type="dxa" w:w="128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Navisync / Beren Therapeutics Launch Team / Adrabetadex</w:t>
            </w:r>
          </w:p>
        </w:tc>
      </w:tr>
      <w:tr>
        <w:tc>
          <w:tcPr>
            <w:tcW w:type="dxa" w:w="1584"/>
            <w:vAlign w:val="center"/>
            <w:shd w:fill="EEF4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Scope</w:t>
            </w:r>
          </w:p>
        </w:tc>
        <w:tc>
          <w:tcPr>
            <w:tcW w:type="dxa" w:w="128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Navisync reimbursement, launch access, provider economics, and ARM training support</w:t>
            </w:r>
          </w:p>
        </w:tc>
      </w:tr>
      <w:tr>
        <w:tc>
          <w:tcPr>
            <w:tcW w:type="dxa" w:w="1584"/>
            <w:vAlign w:val="center"/>
            <w:shd w:fill="EEF4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Hours</w:t>
            </w:r>
          </w:p>
        </w:tc>
        <w:tc>
          <w:tcPr>
            <w:tcW w:type="dxa" w:w="128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69.5</w:t>
            </w:r>
          </w:p>
        </w:tc>
      </w:tr>
      <w:tr>
        <w:tc>
          <w:tcPr>
            <w:tcW w:type="dxa" w:w="1584"/>
            <w:vAlign w:val="center"/>
            <w:shd w:fill="EEF4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Rate</w:t>
            </w:r>
          </w:p>
        </w:tc>
        <w:tc>
          <w:tcPr>
            <w:tcW w:type="dxa" w:w="128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$200.00 / hour</w:t>
            </w:r>
          </w:p>
        </w:tc>
      </w:tr>
      <w:tr>
        <w:tc>
          <w:tcPr>
            <w:tcW w:type="dxa" w:w="1584"/>
            <w:vAlign w:val="center"/>
            <w:shd w:fill="EEF4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Total Due</w:t>
            </w:r>
          </w:p>
        </w:tc>
        <w:tc>
          <w:tcPr>
            <w:tcW w:type="dxa" w:w="128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$13,900.00</w:t>
            </w:r>
          </w:p>
        </w:tc>
      </w:tr>
    </w:tbl>
    <w:p>
      <w:pPr>
        <w:spacing w:before="160" w:after="80"/>
      </w:pPr>
      <w:r>
        <w:rPr>
          <w:b/>
        </w:rPr>
        <w:t>Line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D"/>
          <w:left w:val="single" w:sz="4" w:space="0" w:color="C7D1DD"/>
          <w:bottom w:val="single" w:sz="4" w:space="0" w:color="C7D1DD"/>
          <w:right w:val="single" w:sz="4" w:space="0" w:color="C7D1DD"/>
          <w:insideH w:val="single" w:sz="4" w:space="0" w:color="C7D1DD"/>
          <w:insideV w:val="single" w:sz="4" w:space="0" w:color="C7D1DD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232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Date / time evidence</w:t>
            </w:r>
          </w:p>
        </w:tc>
        <w:tc>
          <w:tcPr>
            <w:tcW w:type="dxa" w:w="9072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Project / deliverable</w:t>
            </w:r>
          </w:p>
        </w:tc>
        <w:tc>
          <w:tcPr>
            <w:tcW w:type="dxa" w:w="792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Hours</w:t>
            </w:r>
          </w:p>
        </w:tc>
        <w:tc>
          <w:tcPr>
            <w:tcW w:type="dxa" w:w="1080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Rate</w:t>
            </w:r>
          </w:p>
        </w:tc>
        <w:tc>
          <w:tcPr>
            <w:tcW w:type="dxa" w:w="1296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Amount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Mar. 29 11:26 PM - Mar. 30 10:05 PM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Source review and initial client-facing reimbursement/access package: reviewed Beren deep-research and Adrabetadex PIE materials; drafted three reimbursement/access PDFs, Navisync-letterhead concept brief, and combined final PDF.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11.0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$2,200.00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9 12:29 PM - Apr. 13 7:38 AM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provider net-cost calculator executive slide/PDF: concise Navisync-branded presentation treatment, title-slide logo integration, PDF export, and reproducible deck script.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4.0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$800.00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17 2:31 PM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coding and reimbursement chain analysis: HOPD, drug-code, OPPS/pass-through, Spinraza analog, provider economics, and next-step launch-access note.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2.0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$400.00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19 2:30 PM - Apr. 23 9:48 AM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Provider Net Cost Recovery Calculator: six-tab workbook, scenario selector, formulas, active-source guardrails, implementation README, and ARM output PDF workflow.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9.0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$1,800.00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21 10:03 PM - Apr. 22 3:37 AM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ARM training deck draft color/readability pass: table color system, cleaner scanability, and draft deck output from the training-guide source.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2.5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$500.00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22 3:22 AM - Apr. 22 9:18 PM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ARM training package and delivery bundle: fact matrix, provider billing reference, ARM training guide, full training deck, executive deck, workbook, and one-page PDF summary.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$2,000.00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23 9:36 AM - Apr. 23 10:09 AM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Final Adrabetadex DOCX/PDF clean pass: hierarchy normalization, terminology cleanup, PDF conversion, and package tidying across the client-presentable and training-materials folders.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2.5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$500.00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</w:rPr>
        <w:t>Line Items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D"/>
          <w:left w:val="single" w:sz="4" w:space="0" w:color="C7D1DD"/>
          <w:bottom w:val="single" w:sz="4" w:space="0" w:color="C7D1DD"/>
          <w:right w:val="single" w:sz="4" w:space="0" w:color="C7D1DD"/>
          <w:insideH w:val="single" w:sz="4" w:space="0" w:color="C7D1DD"/>
          <w:insideV w:val="single" w:sz="4" w:space="0" w:color="C7D1DD"/>
        </w:tblBorders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232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Date / time evidence</w:t>
            </w:r>
          </w:p>
        </w:tc>
        <w:tc>
          <w:tcPr>
            <w:tcW w:type="dxa" w:w="9072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Project / deliverable</w:t>
            </w:r>
          </w:p>
        </w:tc>
        <w:tc>
          <w:tcPr>
            <w:tcW w:type="dxa" w:w="792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Hours</w:t>
            </w:r>
          </w:p>
        </w:tc>
        <w:tc>
          <w:tcPr>
            <w:tcW w:type="dxa" w:w="1080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Rate</w:t>
            </w:r>
          </w:p>
        </w:tc>
        <w:tc>
          <w:tcPr>
            <w:tcW w:type="dxa" w:w="1296"/>
            <w:vAlign w:val="center"/>
            <w:shd w:fill="DCE8F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Amount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26 6:22 PM - Apr. 26 8:23 PM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MLR / client-facing concept brief: simplified Navisync-style calculator brief for Beren, Aetna example placement, DOCX/PDF iteration, and source-note support.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$1,100.00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27 9:17 PM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Provider Economics and Adoption Risk executive brief: PowerPoint/PDF build with Navisync-style presentation treatment and preview checks.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4.0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$800.00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28 12:32 AM - Apr. 28 1:38 AM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Provider Net Cost Recovery Model concept brief: feedback-driven DOCX/PDF rebuild, letterhead fix, table-heavy reimbursement model presentation, and final PDF export.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5.0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$1,000.00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28 10:40 PM - Apr. 28 10:58 PM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concept brief comparison and QA report: content extraction, visual/page checks, difference report, and delivery flags for brief review.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2.0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$400.00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29 3:13 PM - Apr. 29 8:17 PM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ARM package refresh and training rewrite: consolidated provider/ARM billing references, shorter modules, claim-form materials, table/margin formatting, and full/executive deck rebuild around decision logic.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$2,000.00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Apr. 29 8:27 PM - Apr. 29 8:35 PM EDT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Adrabetadex Modules A/B/C replacement: applied supplied source text into the three training-module DOCX files, patched the rebuild script, regenerated files, and verified required text.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2.0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$200.00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$400.00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space="0" w:color="C4A353"/>
          <w:left w:val="single" w:sz="4" w:space="0" w:color="C4A353"/>
          <w:bottom w:val="single" w:sz="4" w:space="0" w:color="C4A353"/>
          <w:right w:val="single" w:sz="4" w:space="0" w:color="C4A353"/>
          <w:insideH w:val="single" w:sz="4" w:space="0" w:color="C4A353"/>
          <w:insideV w:val="single" w:sz="4" w:space="0" w:color="C4A353"/>
        </w:tblBorders>
      </w:tblPr>
      <w:tblGrid>
        <w:gridCol w:w="7272"/>
        <w:gridCol w:w="7272"/>
      </w:tblGrid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Subtotal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$13,900.00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Expenses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$0.00</w:t>
            </w:r>
          </w:p>
        </w:tc>
      </w:tr>
      <w:tr>
        <w:tc>
          <w:tcPr>
            <w:tcW w:type="dxa" w:w="1872"/>
            <w:vAlign w:val="center"/>
            <w:shd w:fill="F6E9C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 DUE</w:t>
            </w:r>
          </w:p>
        </w:tc>
        <w:tc>
          <w:tcPr>
            <w:tcW w:type="dxa" w:w="1800"/>
            <w:vAlign w:val="center"/>
            <w:shd w:fill="F6E9C8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$13,900.00</w:t>
            </w:r>
          </w:p>
        </w:tc>
      </w:tr>
    </w:tbl>
    <w:p>
      <w:pPr>
        <w:spacing w:before="120" w:after="40"/>
      </w:pPr>
      <w:r>
        <w:rPr>
          <w:b/>
        </w:rPr>
        <w:t>Notes</w:t>
      </w:r>
    </w:p>
    <w:p>
      <w:pPr>
        <w:spacing w:after="0"/>
        <w:ind w:left="173"/>
      </w:pPr>
      <w:r>
        <w:rPr>
          <w:sz w:val="15"/>
        </w:rPr>
        <w:t>- Line items are limited to Navisync, Adrabetadex, and Beren work. Unrelated JL Policy website, resume, SPUF, trading, and other project work is excluded.</w:t>
      </w:r>
    </w:p>
    <w:p>
      <w:pPr>
        <w:spacing w:after="0"/>
        <w:ind w:left="173"/>
      </w:pPr>
      <w:r>
        <w:rPr>
          <w:sz w:val="15"/>
        </w:rPr>
        <w:t>- Hours are line-item allocations based on reviewed deliverable timestamps, repository artifacts, and available project/session records.</w:t>
      </w:r>
    </w:p>
    <w:p>
      <w:pPr>
        <w:spacing w:after="0"/>
        <w:ind w:left="173"/>
      </w:pPr>
      <w:r>
        <w:rPr>
          <w:sz w:val="15"/>
        </w:rPr>
        <w:t>- Service period is March 18, 2026 through May 1, 2026. Line-item dates reflect available deliverable and session evidence within that period.</w:t>
      </w:r>
    </w:p>
    <w:p>
      <w:pPr>
        <w:spacing w:after="0"/>
        <w:ind w:left="173"/>
      </w:pPr>
      <w:r>
        <w:rPr>
          <w:sz w:val="15"/>
        </w:rPr>
        <w:t>- No expenses are included. Payment instructions can be provided separately.</w:t>
      </w:r>
    </w:p>
    <w:sectPr w:rsidR="00FC693F" w:rsidRPr="0006063C" w:rsidSect="00034616"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