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B5D7" w14:textId="3631B83F" w:rsidR="005721E5" w:rsidRDefault="00134B51">
      <w:pPr>
        <w:pStyle w:val="Heading1"/>
      </w:pPr>
      <w:r>
        <w:rPr>
          <w:color w:val="002060"/>
        </w:rPr>
        <w:t>Product X</w:t>
      </w:r>
      <w:r w:rsidR="00FB3903">
        <w:rPr>
          <w:color w:val="002060"/>
        </w:rPr>
        <w:t>: Questions for Discussion</w:t>
      </w:r>
    </w:p>
    <w:p w14:paraId="64E29554" w14:textId="65BA23CC" w:rsidR="005721E5" w:rsidRDefault="00AA47CB">
      <w:pPr>
        <w:pStyle w:val="Heading2"/>
      </w:pPr>
      <w:r>
        <w:t xml:space="preserve">Guidance </w:t>
      </w:r>
    </w:p>
    <w:p w14:paraId="7EBE8674" w14:textId="2C760A73" w:rsidR="00082558" w:rsidRPr="00082558" w:rsidRDefault="00082558" w:rsidP="00082558">
      <w:pPr>
        <w:pStyle w:val="Heading2"/>
        <w:rPr>
          <w:b w:val="0"/>
          <w:bCs w:val="0"/>
          <w:color w:val="1F497D" w:themeColor="text2"/>
          <w:sz w:val="22"/>
          <w:szCs w:val="22"/>
          <w:lang w:val="en-US"/>
        </w:rPr>
      </w:pPr>
      <w:r w:rsidRPr="00082558">
        <w:rPr>
          <w:b w:val="0"/>
          <w:bCs w:val="0"/>
          <w:color w:val="1F497D" w:themeColor="text2"/>
          <w:sz w:val="22"/>
          <w:szCs w:val="22"/>
          <w:lang w:val="en-US"/>
        </w:rPr>
        <w:t>Thank you for taking the time to review the materials ahead of our discussion. We anticipate that a thorough review may take approximately 60–120 minutes.</w:t>
      </w:r>
    </w:p>
    <w:p w14:paraId="2012132E" w14:textId="1B8191A8" w:rsidR="00082558" w:rsidRPr="00082558" w:rsidRDefault="00FB3903" w:rsidP="00082558">
      <w:pPr>
        <w:pStyle w:val="Heading2"/>
        <w:rPr>
          <w:b w:val="0"/>
          <w:bCs w:val="0"/>
          <w:color w:val="1F497D" w:themeColor="text2"/>
          <w:sz w:val="22"/>
          <w:szCs w:val="22"/>
          <w:lang w:val="en-US"/>
        </w:rPr>
      </w:pPr>
      <w:r>
        <w:rPr>
          <w:b w:val="0"/>
          <w:bCs w:val="0"/>
          <w:color w:val="1F497D" w:themeColor="text2"/>
          <w:sz w:val="22"/>
          <w:szCs w:val="22"/>
          <w:lang w:val="en-US"/>
        </w:rPr>
        <w:t>We</w:t>
      </w:r>
      <w:r w:rsidR="00082558" w:rsidRPr="00082558">
        <w:rPr>
          <w:b w:val="0"/>
          <w:bCs w:val="0"/>
          <w:color w:val="1F497D" w:themeColor="text2"/>
          <w:sz w:val="22"/>
          <w:szCs w:val="22"/>
          <w:lang w:val="en-US"/>
        </w:rPr>
        <w:t xml:space="preserve"> would appreciate receiving any thoughts, comments, or responses ahead of the meeting. Having the opportunity to review your perspectives in advance will help us ensure a more focused and productive discussion during our time together.</w:t>
      </w:r>
      <w:r>
        <w:rPr>
          <w:b w:val="0"/>
          <w:bCs w:val="0"/>
          <w:color w:val="1F497D" w:themeColor="text2"/>
          <w:sz w:val="22"/>
          <w:szCs w:val="22"/>
          <w:lang w:val="en-US"/>
        </w:rPr>
        <w:t xml:space="preserve"> Feedback on initial </w:t>
      </w:r>
      <w:r w:rsidR="00082558" w:rsidRPr="00082558">
        <w:rPr>
          <w:b w:val="0"/>
          <w:bCs w:val="0"/>
          <w:color w:val="1F497D" w:themeColor="text2"/>
          <w:sz w:val="22"/>
          <w:szCs w:val="22"/>
          <w:lang w:val="en-US"/>
        </w:rPr>
        <w:t>reactions, specific questions, or areas where you would like further clarification are all very helpful.</w:t>
      </w:r>
    </w:p>
    <w:p w14:paraId="70767C30" w14:textId="68A187BB" w:rsidR="00082558" w:rsidRPr="00082558" w:rsidRDefault="00082558" w:rsidP="00082558">
      <w:pPr>
        <w:pStyle w:val="Heading2"/>
        <w:rPr>
          <w:b w:val="0"/>
          <w:bCs w:val="0"/>
          <w:color w:val="1F497D" w:themeColor="text2"/>
          <w:sz w:val="22"/>
          <w:szCs w:val="22"/>
          <w:lang w:val="en-US"/>
        </w:rPr>
      </w:pPr>
      <w:r w:rsidRPr="00082558">
        <w:rPr>
          <w:b w:val="0"/>
          <w:bCs w:val="0"/>
          <w:color w:val="1F497D" w:themeColor="text2"/>
          <w:sz w:val="22"/>
          <w:szCs w:val="22"/>
          <w:lang w:val="en-US"/>
        </w:rPr>
        <w:t xml:space="preserve">We greatly appreciate your time and thoughtful </w:t>
      </w:r>
      <w:r w:rsidR="00CC1AA9" w:rsidRPr="00082558">
        <w:rPr>
          <w:b w:val="0"/>
          <w:bCs w:val="0"/>
          <w:color w:val="1F497D" w:themeColor="text2"/>
          <w:sz w:val="22"/>
          <w:szCs w:val="22"/>
          <w:lang w:val="en-US"/>
        </w:rPr>
        <w:t>input and</w:t>
      </w:r>
      <w:r w:rsidRPr="00082558">
        <w:rPr>
          <w:b w:val="0"/>
          <w:bCs w:val="0"/>
          <w:color w:val="1F497D" w:themeColor="text2"/>
          <w:sz w:val="22"/>
          <w:szCs w:val="22"/>
          <w:lang w:val="en-US"/>
        </w:rPr>
        <w:t xml:space="preserve"> look forward to the discussion.</w:t>
      </w:r>
    </w:p>
    <w:p w14:paraId="6413B3E4" w14:textId="77777777" w:rsidR="005721E5" w:rsidRDefault="00134B51">
      <w:pPr>
        <w:pStyle w:val="Heading2"/>
      </w:pPr>
      <w:r>
        <w:t>Section I: Background and Decision-Making Context</w:t>
      </w:r>
    </w:p>
    <w:p w14:paraId="590D7233" w14:textId="4ACA189D" w:rsidR="00455770" w:rsidRDefault="00134B51" w:rsidP="003E7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How do you evaluate unmet need in the treatment of </w:t>
      </w:r>
      <w:r w:rsidR="00783D95" w:rsidRPr="00CC1AA9">
        <w:rPr>
          <w:rFonts w:ascii="Calibri" w:eastAsia="Calibri" w:hAnsi="Calibri" w:cs="Calibri"/>
          <w:color w:val="1F497D" w:themeColor="text2"/>
          <w:lang w:val="en-US"/>
        </w:rPr>
        <w:t xml:space="preserve">large vessel occlusion ischemic 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>stroke?</w:t>
      </w:r>
    </w:p>
    <w:p w14:paraId="314C6395" w14:textId="77777777" w:rsidR="003E7896" w:rsidRPr="003E7896" w:rsidRDefault="003E7896" w:rsidP="003E78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</w:p>
    <w:p w14:paraId="016DD517" w14:textId="77777777" w:rsidR="003E7896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On the medical benefit, how much does a patient suffering from </w:t>
      </w:r>
      <w:r w:rsidR="00CE6704" w:rsidRPr="00CC1AA9">
        <w:rPr>
          <w:rFonts w:ascii="Calibri" w:eastAsia="Calibri" w:hAnsi="Calibri" w:cs="Calibri"/>
          <w:color w:val="1F497D" w:themeColor="text2"/>
          <w:lang w:val="en-US"/>
        </w:rPr>
        <w:t>a</w:t>
      </w:r>
      <w:r w:rsidR="00783D95" w:rsidRPr="00CC1AA9">
        <w:rPr>
          <w:rFonts w:ascii="Calibri" w:eastAsia="Calibri" w:hAnsi="Calibri" w:cs="Calibri"/>
          <w:color w:val="1F497D" w:themeColor="text2"/>
          <w:lang w:val="en-US"/>
        </w:rPr>
        <w:t xml:space="preserve"> large vessel occlusion ischemic 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stroke with post-endovascular thrombectomy cost? </w:t>
      </w:r>
    </w:p>
    <w:p w14:paraId="1BB57DD2" w14:textId="0AC34D01" w:rsidR="005721E5" w:rsidRPr="003E7896" w:rsidRDefault="00134B51" w:rsidP="003E7896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 w:rsidRPr="003E7896">
        <w:rPr>
          <w:rFonts w:ascii="Calibri" w:eastAsia="Calibri" w:hAnsi="Calibri" w:cs="Calibri"/>
          <w:color w:val="1F497D" w:themeColor="text2"/>
          <w:lang w:val="en-US"/>
        </w:rPr>
        <w:t>How many days does a patient</w:t>
      </w:r>
      <w:r w:rsidR="00783D95" w:rsidRPr="003E7896">
        <w:rPr>
          <w:rFonts w:ascii="Calibri" w:eastAsia="Calibri" w:hAnsi="Calibri" w:cs="Calibri"/>
          <w:color w:val="1F497D" w:themeColor="text2"/>
          <w:lang w:val="en-US"/>
        </w:rPr>
        <w:t xml:space="preserve"> who suffered from large vessel occlusion ischemic stroke and had an EVT</w:t>
      </w:r>
      <w:r w:rsidRPr="003E7896">
        <w:rPr>
          <w:rFonts w:ascii="Calibri" w:eastAsia="Calibri" w:hAnsi="Calibri" w:cs="Calibri"/>
          <w:color w:val="1F497D" w:themeColor="text2"/>
          <w:lang w:val="en-US"/>
        </w:rPr>
        <w:t xml:space="preserve"> typically stay in the hospital / ICU and neuro-ICU?</w:t>
      </w:r>
    </w:p>
    <w:p w14:paraId="1CA8A374" w14:textId="77777777" w:rsidR="005721E5" w:rsidRDefault="00134B51">
      <w:pPr>
        <w:pStyle w:val="Heading2"/>
      </w:pPr>
      <w:r>
        <w:t>Section II: Hypothetical Product Profile Reaction (Product X)</w:t>
      </w:r>
    </w:p>
    <w:p w14:paraId="0C2B2157" w14:textId="2EFF6D09" w:rsidR="005721E5" w:rsidRPr="00CC1AA9" w:rsidRDefault="00134B51" w:rsidP="00CC1A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Please refer to the TPP (Product X) in the Discussion Stimuli</w:t>
      </w:r>
      <w:r w:rsidR="003912C6" w:rsidRPr="00CC1AA9">
        <w:rPr>
          <w:rFonts w:ascii="Calibri" w:eastAsia="Calibri" w:hAnsi="Calibri" w:cs="Calibri"/>
          <w:color w:val="1F497D" w:themeColor="text2"/>
          <w:lang w:val="en-US"/>
        </w:rPr>
        <w:t xml:space="preserve"> </w:t>
      </w:r>
      <w:r w:rsidR="00FB3903">
        <w:rPr>
          <w:rFonts w:ascii="Calibri" w:eastAsia="Calibri" w:hAnsi="Calibri" w:cs="Calibri"/>
          <w:color w:val="1F497D" w:themeColor="text2"/>
          <w:lang w:val="en-US"/>
        </w:rPr>
        <w:t xml:space="preserve">(slide </w:t>
      </w:r>
      <w:r w:rsidR="00CC1AA9">
        <w:rPr>
          <w:rFonts w:ascii="Calibri" w:eastAsia="Calibri" w:hAnsi="Calibri" w:cs="Calibri"/>
          <w:color w:val="1F497D" w:themeColor="text2"/>
          <w:lang w:val="en-US"/>
        </w:rPr>
        <w:t>7</w:t>
      </w:r>
      <w:r w:rsidR="00FB3903">
        <w:rPr>
          <w:rFonts w:ascii="Calibri" w:eastAsia="Calibri" w:hAnsi="Calibri" w:cs="Calibri"/>
          <w:color w:val="1F497D" w:themeColor="text2"/>
          <w:lang w:val="en-US"/>
        </w:rPr>
        <w:t xml:space="preserve">) </w:t>
      </w:r>
      <w:r w:rsidR="003912C6" w:rsidRPr="00CC1AA9">
        <w:rPr>
          <w:rFonts w:ascii="Calibri" w:eastAsia="Calibri" w:hAnsi="Calibri" w:cs="Calibri"/>
          <w:color w:val="1F497D" w:themeColor="text2"/>
          <w:lang w:val="en-US"/>
        </w:rPr>
        <w:t xml:space="preserve">and </w:t>
      </w:r>
      <w:r w:rsidR="00FB3903">
        <w:rPr>
          <w:rFonts w:ascii="Calibri" w:eastAsia="Calibri" w:hAnsi="Calibri" w:cs="Calibri"/>
          <w:color w:val="1F497D" w:themeColor="text2"/>
          <w:lang w:val="en-US"/>
        </w:rPr>
        <w:t>complete</w:t>
      </w:r>
      <w:r w:rsidR="003912C6" w:rsidRPr="00CC1AA9">
        <w:rPr>
          <w:rFonts w:ascii="Calibri" w:eastAsia="Calibri" w:hAnsi="Calibri" w:cs="Calibri"/>
          <w:color w:val="1F497D" w:themeColor="text2"/>
          <w:lang w:val="en-US"/>
        </w:rPr>
        <w:t xml:space="preserve"> the table on the rating of Product X. </w:t>
      </w:r>
    </w:p>
    <w:p w14:paraId="6854D948" w14:textId="5A0ABE1D" w:rsidR="00CE6704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What is your view on the</w:t>
      </w:r>
      <w:r w:rsidR="00CE6704" w:rsidRPr="00CC1AA9">
        <w:rPr>
          <w:rFonts w:ascii="Calibri" w:eastAsia="Calibri" w:hAnsi="Calibri" w:cs="Calibri"/>
          <w:color w:val="1F497D" w:themeColor="text2"/>
          <w:lang w:val="en-US"/>
        </w:rPr>
        <w:t xml:space="preserve"> efficacy,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 outcomes</w:t>
      </w:r>
      <w:r w:rsidR="00CE6704" w:rsidRPr="00CC1AA9">
        <w:rPr>
          <w:rFonts w:ascii="Calibri" w:eastAsia="Calibri" w:hAnsi="Calibri" w:cs="Calibri"/>
          <w:color w:val="1F497D" w:themeColor="text2"/>
          <w:lang w:val="en-US"/>
        </w:rPr>
        <w:t>, safety</w:t>
      </w:r>
      <w:r w:rsidR="003912C6" w:rsidRPr="00CC1AA9">
        <w:rPr>
          <w:rFonts w:ascii="Calibri" w:eastAsia="Calibri" w:hAnsi="Calibri" w:cs="Calibri"/>
          <w:color w:val="1F497D" w:themeColor="text2"/>
          <w:lang w:val="en-US"/>
        </w:rPr>
        <w:t xml:space="preserve"> and administration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 of Product X? </w:t>
      </w:r>
    </w:p>
    <w:p w14:paraId="556B60FA" w14:textId="0B3F5535" w:rsidR="005721E5" w:rsidRPr="00CC1AA9" w:rsidRDefault="00134B51" w:rsidP="00CC1AA9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What is your view on the 4</w:t>
      </w:r>
      <w:r w:rsidR="005E213F" w:rsidRPr="00CC1AA9">
        <w:rPr>
          <w:rFonts w:ascii="Calibri" w:eastAsia="Calibri" w:hAnsi="Calibri" w:cs="Calibri"/>
          <w:color w:val="1F497D" w:themeColor="text2"/>
          <w:lang w:val="en-US"/>
        </w:rPr>
        <w:t>8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>-hour infusion?</w:t>
      </w:r>
    </w:p>
    <w:p w14:paraId="13742EB7" w14:textId="6C450B2F" w:rsidR="005721E5" w:rsidRPr="00CC1AA9" w:rsidRDefault="00134B51" w:rsidP="00CC1AA9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Would you anticipate the IV to be given in the ICU unit?</w:t>
      </w:r>
      <w:r w:rsidR="00783D95" w:rsidRPr="00CC1AA9">
        <w:rPr>
          <w:rFonts w:ascii="Calibri" w:eastAsia="Calibri" w:hAnsi="Calibri" w:cs="Calibri"/>
          <w:color w:val="1F497D" w:themeColor="text2"/>
          <w:lang w:val="en-US"/>
        </w:rPr>
        <w:t xml:space="preserve"> Note: In Phase 3 trials, patients will likely receive the infusion in the ICU suite post EVT</w:t>
      </w:r>
    </w:p>
    <w:p w14:paraId="75353011" w14:textId="57BD00BF" w:rsidR="00FB3903" w:rsidRPr="00CC1AA9" w:rsidRDefault="00FB3903" w:rsidP="00CC1AA9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>
        <w:rPr>
          <w:rFonts w:ascii="Calibri" w:eastAsia="Calibri" w:hAnsi="Calibri" w:cs="Calibri"/>
          <w:color w:val="1F497D" w:themeColor="text2"/>
          <w:lang w:val="en-US"/>
        </w:rPr>
        <w:t>How d</w:t>
      </w:r>
      <w:r w:rsidR="00134B51" w:rsidRPr="00CC1AA9">
        <w:rPr>
          <w:rFonts w:ascii="Calibri" w:eastAsia="Calibri" w:hAnsi="Calibri" w:cs="Calibri"/>
          <w:color w:val="1F497D" w:themeColor="text2"/>
          <w:lang w:val="en-US"/>
        </w:rPr>
        <w:t xml:space="preserve">o you anticipate Product X </w:t>
      </w:r>
      <w:r>
        <w:rPr>
          <w:rFonts w:ascii="Calibri" w:eastAsia="Calibri" w:hAnsi="Calibri" w:cs="Calibri"/>
          <w:color w:val="1F497D" w:themeColor="text2"/>
          <w:lang w:val="en-US"/>
        </w:rPr>
        <w:t xml:space="preserve">reducing </w:t>
      </w:r>
      <w:r w:rsidR="00134B51" w:rsidRPr="00CC1AA9">
        <w:rPr>
          <w:rFonts w:ascii="Calibri" w:eastAsia="Calibri" w:hAnsi="Calibri" w:cs="Calibri"/>
          <w:color w:val="1F497D" w:themeColor="text2"/>
          <w:lang w:val="en-US"/>
        </w:rPr>
        <w:t>the number of hospital days and</w:t>
      </w:r>
      <w:r>
        <w:rPr>
          <w:rFonts w:ascii="Calibri" w:eastAsia="Calibri" w:hAnsi="Calibri" w:cs="Calibri"/>
          <w:color w:val="1F497D" w:themeColor="text2"/>
          <w:lang w:val="en-US"/>
        </w:rPr>
        <w:t>/or</w:t>
      </w:r>
      <w:r w:rsidR="00134B51" w:rsidRPr="00CC1AA9">
        <w:rPr>
          <w:rFonts w:ascii="Calibri" w:eastAsia="Calibri" w:hAnsi="Calibri" w:cs="Calibri"/>
          <w:color w:val="1F497D" w:themeColor="text2"/>
          <w:lang w:val="en-US"/>
        </w:rPr>
        <w:t xml:space="preserve"> </w:t>
      </w:r>
      <w:r w:rsidR="00CC1AA9" w:rsidRPr="00CC1AA9">
        <w:rPr>
          <w:rFonts w:ascii="Calibri" w:eastAsia="Calibri" w:hAnsi="Calibri" w:cs="Calibri"/>
          <w:color w:val="1F497D" w:themeColor="text2"/>
          <w:lang w:val="en-US"/>
        </w:rPr>
        <w:t>ICU Day</w:t>
      </w:r>
      <w:r w:rsidR="00134B51" w:rsidRPr="00CC1AA9">
        <w:rPr>
          <w:rFonts w:ascii="Calibri" w:eastAsia="Calibri" w:hAnsi="Calibri" w:cs="Calibri"/>
          <w:color w:val="1F497D" w:themeColor="text2"/>
          <w:lang w:val="en-US"/>
        </w:rPr>
        <w:t>?</w:t>
      </w:r>
    </w:p>
    <w:p w14:paraId="694E4F0C" w14:textId="03D91E0A" w:rsidR="003912C6" w:rsidRPr="00CC1AA9" w:rsidRDefault="00134B51" w:rsidP="00CC1AA9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How would you anticipate Product X changing the number of staffing requirements?</w:t>
      </w:r>
    </w:p>
    <w:p w14:paraId="0D3C9DEF" w14:textId="77777777" w:rsidR="003912C6" w:rsidRDefault="003912C6" w:rsidP="003912C6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</w:pPr>
    </w:p>
    <w:p w14:paraId="77976D0F" w14:textId="63AAAA05" w:rsidR="003912C6" w:rsidRPr="00CC1AA9" w:rsidRDefault="00CC1AA9" w:rsidP="00CC1AA9">
      <w:pPr>
        <w:spacing w:after="0"/>
        <w:rPr>
          <w:rFonts w:ascii="Calibri" w:eastAsia="Calibri" w:hAnsi="Calibri" w:cs="Calibri"/>
          <w:b/>
          <w:bCs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b/>
          <w:bCs/>
          <w:color w:val="1F497D" w:themeColor="text2"/>
        </w:rPr>
        <w:t>Please complete the table and note how you anticipate payers/hospital payers rating the following attributes of Product X:</w:t>
      </w:r>
      <w:r w:rsidR="003912C6" w:rsidRPr="00CC1AA9">
        <w:rPr>
          <w:rFonts w:ascii="Calibri" w:eastAsia="Calibri" w:hAnsi="Calibri" w:cs="Calibri"/>
          <w:b/>
          <w:bCs/>
          <w:color w:val="1F497D" w:themeColor="text2"/>
          <w:lang w:val="en-US"/>
        </w:rPr>
        <w:t>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325"/>
        <w:gridCol w:w="4505"/>
      </w:tblGrid>
      <w:tr w:rsidR="003912C6" w:rsidRPr="00FB3903" w14:paraId="7014C7F2" w14:textId="77777777" w:rsidTr="00E50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4C82E3DF" w14:textId="45B62D51" w:rsidR="003912C6" w:rsidRDefault="003912C6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Rating (1-5)</w:t>
            </w:r>
            <w:r w:rsidR="00FB3903"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  <w:t xml:space="preserve">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- Efficacy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br/>
              <w:t xml:space="preserve">Product X on a Scale of 1-5,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lastRenderedPageBreak/>
              <w:t>where “5” is “highly efficacious” and “1” is “not efficacious at all”.</w:t>
            </w:r>
          </w:p>
          <w:p w14:paraId="073FD6A2" w14:textId="78ED00E1" w:rsidR="00FB3903" w:rsidRPr="00CC1AA9" w:rsidRDefault="00FB3903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</w:p>
        </w:tc>
        <w:tc>
          <w:tcPr>
            <w:tcW w:w="4505" w:type="dxa"/>
          </w:tcPr>
          <w:p w14:paraId="3719B3D5" w14:textId="77777777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</w:p>
        </w:tc>
      </w:tr>
      <w:tr w:rsidR="003912C6" w:rsidRPr="00FB3903" w14:paraId="7C4DFD01" w14:textId="77777777" w:rsidTr="00CC1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68477963" w14:textId="53F84B3A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Rating (1-5)</w:t>
            </w:r>
            <w:r w:rsidR="00FB3903"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  <w:t xml:space="preserve">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- Safety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br/>
              <w:t>Product X on a Scale of 1-5, where “5” is “highly safe” and “1” is “not safe at all”.</w:t>
            </w:r>
          </w:p>
        </w:tc>
        <w:tc>
          <w:tcPr>
            <w:tcW w:w="4505" w:type="dxa"/>
          </w:tcPr>
          <w:p w14:paraId="1908A927" w14:textId="77777777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3912C6" w:rsidRPr="00FB3903" w14:paraId="5BE56826" w14:textId="77777777" w:rsidTr="00E5054C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56F00646" w14:textId="2370313D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Rating (1-5)</w:t>
            </w:r>
            <w:r w:rsidR="00FB3903"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  <w:t xml:space="preserve">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- Outcomes</w:t>
            </w:r>
            <w:r w:rsidR="00CC1AA9"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</w:t>
            </w:r>
            <w:r w:rsidR="00CC1AA9">
              <w:rPr>
                <w:rFonts w:ascii="Calibri" w:eastAsia="Calibri" w:hAnsi="Calibri" w:cs="Calibri"/>
                <w:color w:val="1F497D" w:themeColor="text2"/>
                <w:lang w:val="en-US"/>
              </w:rPr>
              <w:br/>
            </w:r>
            <w:r w:rsidR="00CC1AA9"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 on a Scale of 1-5, where “5” is “highly </w:t>
            </w:r>
            <w:r w:rsid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valuable Outcomes</w:t>
            </w:r>
            <w:r w:rsidR="00CC1AA9"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” and “1” is “</w:t>
            </w:r>
            <w:r w:rsid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no</w:t>
            </w:r>
            <w:r w:rsidR="00CC1AA9"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</w:t>
            </w:r>
            <w:r w:rsid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valuable Outcomes</w:t>
            </w:r>
            <w:r w:rsidR="00CC1AA9"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”.</w:t>
            </w:r>
          </w:p>
        </w:tc>
        <w:tc>
          <w:tcPr>
            <w:tcW w:w="4505" w:type="dxa"/>
          </w:tcPr>
          <w:p w14:paraId="512D8F75" w14:textId="77777777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3912C6" w:rsidRPr="00FB3903" w14:paraId="7FAF4936" w14:textId="77777777" w:rsidTr="00E505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</w:tcPr>
          <w:p w14:paraId="3191F78E" w14:textId="77777777" w:rsidR="003912C6" w:rsidRDefault="003912C6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Rating (1-5)- Administration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br/>
              <w:t>Scale of 1-5, where “5” is “in line with current administration setting and personnel requirements” and “1” is “very different to current administration setting and personnel requirements”</w:t>
            </w:r>
          </w:p>
          <w:p w14:paraId="0AD9622F" w14:textId="5EB04101" w:rsidR="00FB3903" w:rsidRPr="00CC1AA9" w:rsidRDefault="00FB3903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</w:p>
        </w:tc>
        <w:tc>
          <w:tcPr>
            <w:tcW w:w="4505" w:type="dxa"/>
          </w:tcPr>
          <w:p w14:paraId="50985986" w14:textId="77777777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</w:tbl>
    <w:p w14:paraId="553F4719" w14:textId="77777777" w:rsidR="003912C6" w:rsidRDefault="003912C6" w:rsidP="003912C6">
      <w:pPr>
        <w:pStyle w:val="ListBullet2"/>
        <w:numPr>
          <w:ilvl w:val="0"/>
          <w:numId w:val="0"/>
        </w:numPr>
        <w:ind w:left="720"/>
      </w:pPr>
    </w:p>
    <w:p w14:paraId="571107F2" w14:textId="62446439" w:rsidR="005721E5" w:rsidRDefault="00134B51">
      <w:pPr>
        <w:pStyle w:val="Heading2"/>
      </w:pPr>
      <w:r>
        <w:t>Section III: Economic Evaluation</w:t>
      </w:r>
      <w:r w:rsidR="00E5054C">
        <w:t xml:space="preserve"> </w:t>
      </w:r>
    </w:p>
    <w:p w14:paraId="762F9BE2" w14:textId="55B67D54" w:rsidR="003912C6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What would </w:t>
      </w:r>
      <w:r w:rsidR="00CC1AA9">
        <w:rPr>
          <w:rFonts w:ascii="Calibri" w:eastAsia="Calibri" w:hAnsi="Calibri" w:cs="Calibri"/>
          <w:color w:val="1F497D" w:themeColor="text2"/>
          <w:lang w:val="en-US"/>
        </w:rPr>
        <w:t xml:space="preserve">you anticipate payers and hospital payers’ 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>price expectations for Product X</w:t>
      </w:r>
      <w:r w:rsidR="00CC1AA9">
        <w:rPr>
          <w:rFonts w:ascii="Calibri" w:eastAsia="Calibri" w:hAnsi="Calibri" w:cs="Calibri"/>
          <w:color w:val="1F497D" w:themeColor="text2"/>
          <w:lang w:val="en-US"/>
        </w:rPr>
        <w:t xml:space="preserve"> to be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>?</w:t>
      </w:r>
    </w:p>
    <w:p w14:paraId="5728186B" w14:textId="179AB86E" w:rsidR="003912C6" w:rsidRDefault="00CC1AA9" w:rsidP="00CC1AA9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CC1AA9">
        <w:rPr>
          <w:rFonts w:ascii="Calibri" w:eastAsia="Calibri" w:hAnsi="Calibri" w:cs="Calibri"/>
          <w:b/>
          <w:bCs/>
          <w:color w:val="1F497D" w:themeColor="text2"/>
        </w:rPr>
        <w:t>Please complete the table and note how you anticipate payers covering Product X at the following prices: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24"/>
        <w:gridCol w:w="2743"/>
        <w:gridCol w:w="2743"/>
      </w:tblGrid>
      <w:tr w:rsidR="00CC1AA9" w14:paraId="57634ACA" w14:textId="3A4B3AAE" w:rsidTr="007914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73CFB107" w14:textId="0229DDAB" w:rsidR="00CC1AA9" w:rsidRPr="00CC1AA9" w:rsidRDefault="00CC1AA9" w:rsidP="00CC1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Product X Cost</w:t>
            </w:r>
          </w:p>
        </w:tc>
        <w:tc>
          <w:tcPr>
            <w:tcW w:w="2743" w:type="dxa"/>
            <w:vAlign w:val="center"/>
          </w:tcPr>
          <w:p w14:paraId="01C7570D" w14:textId="3782EA26" w:rsidR="00CC1AA9" w:rsidRPr="00CC1AA9" w:rsidRDefault="00CC1AA9" w:rsidP="00CC1AA9">
            <w:pPr>
              <w:pStyle w:val="ListBullet2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sz w:val="18"/>
                <w:szCs w:val="18"/>
                <w:lang w:val="en-US"/>
              </w:rPr>
            </w:pP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Would you anticipate payers covering Product X in the formulary?</w:t>
            </w:r>
          </w:p>
        </w:tc>
        <w:tc>
          <w:tcPr>
            <w:tcW w:w="2743" w:type="dxa"/>
            <w:vAlign w:val="center"/>
          </w:tcPr>
          <w:p w14:paraId="7316EE57" w14:textId="793E3510" w:rsidR="00CC1AA9" w:rsidRPr="00CC1AA9" w:rsidRDefault="00CC1AA9" w:rsidP="00CC1AA9">
            <w:pPr>
              <w:pStyle w:val="ListBullet2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sz w:val="18"/>
                <w:szCs w:val="18"/>
                <w:lang w:val="en-US"/>
              </w:rPr>
            </w:pP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How would you anticipate payers to manage Product X at these prices in terms of restrictions? (</w:t>
            </w:r>
            <w:proofErr w:type="spellStart"/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  <w:lang w:val="tr-TR"/>
              </w:rPr>
              <w:t>any</w:t>
            </w:r>
            <w:proofErr w:type="spellEnd"/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  <w:lang w:val="tr-TR"/>
              </w:rPr>
              <w:t xml:space="preserve"> </w:t>
            </w: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prior authorization, restrictions and quantity limits)</w:t>
            </w:r>
          </w:p>
        </w:tc>
      </w:tr>
      <w:tr w:rsidR="003912C6" w14:paraId="47443BE6" w14:textId="01226183" w:rsidTr="00391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2FCCF5A9" w14:textId="185C1F19" w:rsidR="003912C6" w:rsidRPr="00CC1AA9" w:rsidRDefault="003912C6" w:rsidP="003912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$15K per event per patient</w:t>
            </w:r>
          </w:p>
        </w:tc>
        <w:tc>
          <w:tcPr>
            <w:tcW w:w="2743" w:type="dxa"/>
          </w:tcPr>
          <w:p w14:paraId="64F933C7" w14:textId="77777777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1F0391EB" w14:textId="77777777" w:rsidR="003912C6" w:rsidRPr="00CC1AA9" w:rsidRDefault="003912C6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3912C6" w14:paraId="415B72FD" w14:textId="667FF9B6" w:rsidTr="00391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1FBAC1E5" w14:textId="3169DD09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$25K per event per patient</w:t>
            </w:r>
          </w:p>
        </w:tc>
        <w:tc>
          <w:tcPr>
            <w:tcW w:w="2743" w:type="dxa"/>
          </w:tcPr>
          <w:p w14:paraId="5AAD31C7" w14:textId="77777777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569BA4FD" w14:textId="77777777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3912C6" w14:paraId="742D78B6" w14:textId="175097C8" w:rsidTr="00391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6C5729A0" w14:textId="5EDA14F5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$35K per event per patient</w:t>
            </w:r>
          </w:p>
        </w:tc>
        <w:tc>
          <w:tcPr>
            <w:tcW w:w="2743" w:type="dxa"/>
          </w:tcPr>
          <w:p w14:paraId="66E4D788" w14:textId="77777777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09DB86B0" w14:textId="77777777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3912C6" w14:paraId="7D83FFD7" w14:textId="6E458E0C" w:rsidTr="00391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0F7CC512" w14:textId="2D5648A6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$50K per event per patient</w:t>
            </w:r>
          </w:p>
        </w:tc>
        <w:tc>
          <w:tcPr>
            <w:tcW w:w="2743" w:type="dxa"/>
          </w:tcPr>
          <w:p w14:paraId="40A10D32" w14:textId="77777777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7D67433D" w14:textId="77777777" w:rsidR="003912C6" w:rsidRPr="00CC1AA9" w:rsidRDefault="003912C6" w:rsidP="003912C6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</w:tbl>
    <w:p w14:paraId="6FB630C8" w14:textId="77777777" w:rsidR="003912C6" w:rsidRDefault="003912C6" w:rsidP="003912C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3F209340" w14:textId="39CE2FD3" w:rsidR="005721E5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lastRenderedPageBreak/>
        <w:t xml:space="preserve">Considering the current average length of stay, how many days would Product X need to decrease the length of hospital stay to offset the DRG costs? </w:t>
      </w:r>
    </w:p>
    <w:p w14:paraId="5FBDD324" w14:textId="77777777" w:rsidR="005721E5" w:rsidRDefault="00134B51" w:rsidP="00FB39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Considering the current average length of ICU stay, how many days would Product X need to decrease the length of ICU stay to offset the DRG costs? </w:t>
      </w:r>
    </w:p>
    <w:p w14:paraId="46450BAC" w14:textId="77777777" w:rsidR="00FB3903" w:rsidRPr="00CC1AA9" w:rsidRDefault="00FB3903" w:rsidP="00CC1A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</w:p>
    <w:p w14:paraId="686DE526" w14:textId="609E5227" w:rsidR="005721E5" w:rsidRDefault="00134B51">
      <w:pPr>
        <w:pStyle w:val="Heading2"/>
      </w:pPr>
      <w:r>
        <w:t>Section IV</w:t>
      </w:r>
      <w:r w:rsidR="00FB3903">
        <w:t>:</w:t>
      </w:r>
      <w:r>
        <w:t xml:space="preserve"> </w:t>
      </w:r>
      <w:r w:rsidR="000B48C0">
        <w:t>DRG Evaluation</w:t>
      </w:r>
      <w:r w:rsidR="00E5054C">
        <w:t xml:space="preserve"> </w:t>
      </w:r>
    </w:p>
    <w:p w14:paraId="5AFCBEAA" w14:textId="60AC93A8" w:rsidR="005721E5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Considering the DRGs currently billed, how would you consider the reimbursement of Product X in the DRG?</w:t>
      </w:r>
    </w:p>
    <w:p w14:paraId="68402FC3" w14:textId="77777777" w:rsidR="00D8705C" w:rsidRPr="00CC1AA9" w:rsidRDefault="00D8705C" w:rsidP="00D8705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libri" w:hAnsi="Calibri" w:cs="Calibri"/>
          <w:color w:val="1F497D" w:themeColor="text2"/>
          <w:lang w:val="en-US"/>
        </w:rPr>
      </w:pPr>
    </w:p>
    <w:p w14:paraId="1E793A32" w14:textId="03E1EB43" w:rsidR="003E7896" w:rsidRPr="003E7896" w:rsidRDefault="00134B51" w:rsidP="003E7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 xml:space="preserve">Would you anticipate Product X to drive a new DRG/ DRG update? </w:t>
      </w:r>
    </w:p>
    <w:p w14:paraId="35C132B6" w14:textId="287FC74B" w:rsidR="005721E5" w:rsidRPr="003E7896" w:rsidRDefault="00134B51" w:rsidP="003E78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1F497D" w:themeColor="text2"/>
          <w:lang w:val="en-US"/>
        </w:rPr>
      </w:pPr>
      <w:r w:rsidRPr="003E7896">
        <w:rPr>
          <w:rFonts w:ascii="Calibri" w:eastAsia="Calibri" w:hAnsi="Calibri" w:cs="Calibri"/>
          <w:color w:val="1F497D" w:themeColor="text2"/>
          <w:lang w:val="en-US"/>
        </w:rPr>
        <w:t>How would payers allow you to bill for Product X in addition to the DRGs? Are there extra payment schemes? Cash-pay?</w:t>
      </w:r>
    </w:p>
    <w:p w14:paraId="5F07C122" w14:textId="005251C1" w:rsidR="00CC1AA9" w:rsidRPr="00CC1AA9" w:rsidRDefault="00CC1AA9" w:rsidP="00CC1AA9">
      <w:pPr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b/>
          <w:bCs/>
          <w:color w:val="1F497D" w:themeColor="text2"/>
        </w:rPr>
        <w:t>Please complete the table and note how you anticipate hospital payers covering Product X at the following prices: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424"/>
        <w:gridCol w:w="2743"/>
        <w:gridCol w:w="2743"/>
      </w:tblGrid>
      <w:tr w:rsidR="00CC1AA9" w14:paraId="725DA45E" w14:textId="77777777" w:rsidTr="00D8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3B6E5EF8" w14:textId="77777777" w:rsidR="00CC1AA9" w:rsidRPr="00CC1AA9" w:rsidRDefault="00CC1AA9" w:rsidP="00CC1A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Product X Cost</w:t>
            </w:r>
          </w:p>
        </w:tc>
        <w:tc>
          <w:tcPr>
            <w:tcW w:w="2743" w:type="dxa"/>
            <w:vAlign w:val="center"/>
          </w:tcPr>
          <w:p w14:paraId="22195E95" w14:textId="77777777" w:rsidR="00CC1AA9" w:rsidRPr="00CC1AA9" w:rsidRDefault="00CC1AA9" w:rsidP="00CC1AA9">
            <w:pPr>
              <w:pStyle w:val="NormalWeb"/>
              <w:spacing w:before="0" w:beforeAutospacing="0" w:after="20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What price level for Product X would you anticipate hospital payers to deem price adjustment as</w:t>
            </w: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  <w:u w:val="single"/>
              </w:rPr>
              <w:t xml:space="preserve"> not necessary</w:t>
            </w: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? (Considering the current DRGs)</w:t>
            </w:r>
          </w:p>
          <w:p w14:paraId="143E2CC8" w14:textId="424E49A1" w:rsidR="00CC1AA9" w:rsidRPr="00CC1AA9" w:rsidRDefault="00CC1AA9" w:rsidP="00CC1AA9">
            <w:pPr>
              <w:pStyle w:val="ListBullet2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sz w:val="18"/>
                <w:szCs w:val="18"/>
                <w:lang w:val="en-US"/>
              </w:rPr>
            </w:pP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 </w:t>
            </w:r>
          </w:p>
        </w:tc>
        <w:tc>
          <w:tcPr>
            <w:tcW w:w="2743" w:type="dxa"/>
            <w:vAlign w:val="center"/>
          </w:tcPr>
          <w:p w14:paraId="506B749D" w14:textId="77777777" w:rsidR="00CC1AA9" w:rsidRPr="00CC1AA9" w:rsidRDefault="00CC1AA9" w:rsidP="00CC1AA9">
            <w:pPr>
              <w:pStyle w:val="NormalWeb"/>
              <w:spacing w:before="0" w:beforeAutospacing="0" w:after="20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At what price level for Product X would the adoption of the product slow? Or stop? Why?</w:t>
            </w:r>
          </w:p>
          <w:p w14:paraId="3048C295" w14:textId="45657DAE" w:rsidR="00CC1AA9" w:rsidRPr="00CC1AA9" w:rsidRDefault="00CC1AA9" w:rsidP="00CC1AA9">
            <w:pPr>
              <w:pStyle w:val="ListBullet2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sz w:val="18"/>
                <w:szCs w:val="18"/>
                <w:lang w:val="en-US"/>
              </w:rPr>
            </w:pPr>
            <w:r w:rsidRPr="00CC1AA9">
              <w:rPr>
                <w:rFonts w:ascii="Aptos" w:hAnsi="Aptos" w:cs="Arial"/>
                <w:color w:val="1F497D" w:themeColor="text2"/>
                <w:kern w:val="24"/>
                <w:sz w:val="18"/>
                <w:szCs w:val="18"/>
              </w:rPr>
              <w:t> </w:t>
            </w:r>
          </w:p>
        </w:tc>
      </w:tr>
      <w:tr w:rsidR="00D8705C" w14:paraId="06C3AA3D" w14:textId="77777777" w:rsidTr="00305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0D77ACFA" w14:textId="77777777" w:rsidR="00D8705C" w:rsidRPr="00CC1AA9" w:rsidRDefault="00D8705C" w:rsidP="00305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$15K per event per patient</w:t>
            </w:r>
          </w:p>
        </w:tc>
        <w:tc>
          <w:tcPr>
            <w:tcW w:w="2743" w:type="dxa"/>
          </w:tcPr>
          <w:p w14:paraId="4333ABFE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3059F974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D8705C" w14:paraId="32A11168" w14:textId="77777777" w:rsidTr="00305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1B66AA7F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$25K per event per patient</w:t>
            </w:r>
          </w:p>
        </w:tc>
        <w:tc>
          <w:tcPr>
            <w:tcW w:w="2743" w:type="dxa"/>
          </w:tcPr>
          <w:p w14:paraId="4CA796CA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54509641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D8705C" w14:paraId="280B107A" w14:textId="77777777" w:rsidTr="00305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68259BCB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$35K per event per patient</w:t>
            </w:r>
          </w:p>
        </w:tc>
        <w:tc>
          <w:tcPr>
            <w:tcW w:w="2743" w:type="dxa"/>
          </w:tcPr>
          <w:p w14:paraId="05D6B2DC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18985BEB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D8705C" w14:paraId="0D2EA94C" w14:textId="77777777" w:rsidTr="00305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4B83E472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$50K per event per patient</w:t>
            </w:r>
          </w:p>
        </w:tc>
        <w:tc>
          <w:tcPr>
            <w:tcW w:w="2743" w:type="dxa"/>
          </w:tcPr>
          <w:p w14:paraId="1DDFD83C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2F774213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  <w:tr w:rsidR="00D8705C" w14:paraId="71129499" w14:textId="77777777" w:rsidTr="00305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4" w:type="dxa"/>
          </w:tcPr>
          <w:p w14:paraId="04FB9BFF" w14:textId="7A064570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rPr>
                <w:rFonts w:ascii="Calibri" w:eastAsia="Calibri" w:hAnsi="Calibri" w:cs="Calibri"/>
                <w:b w:val="0"/>
                <w:bCs w:val="0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$80K per event per patient</w:t>
            </w:r>
          </w:p>
        </w:tc>
        <w:tc>
          <w:tcPr>
            <w:tcW w:w="2743" w:type="dxa"/>
          </w:tcPr>
          <w:p w14:paraId="439C40AE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  <w:tc>
          <w:tcPr>
            <w:tcW w:w="2743" w:type="dxa"/>
          </w:tcPr>
          <w:p w14:paraId="5C6A3225" w14:textId="77777777" w:rsidR="00D8705C" w:rsidRPr="00CC1AA9" w:rsidRDefault="00D8705C" w:rsidP="0030593A">
            <w:pPr>
              <w:pStyle w:val="ListBullet2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</w:tbl>
    <w:p w14:paraId="702E4DDF" w14:textId="77777777" w:rsidR="00D8705C" w:rsidRDefault="00D8705C" w:rsidP="00D8705C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4FC3307B" w14:textId="77777777" w:rsidR="005721E5" w:rsidRDefault="00134B51">
      <w:pPr>
        <w:pStyle w:val="Heading2"/>
      </w:pPr>
      <w:r>
        <w:t xml:space="preserve">Section V: NTAP Requirement </w:t>
      </w:r>
    </w:p>
    <w:p w14:paraId="0E27B9A6" w14:textId="3525655E" w:rsidR="005721E5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How does NTAP (New Technology Add-On Payment) reduce adoption risk? Please rate it on a scale of 1-5, where “5” is “highly reduces adoption risk” and “1” is “not reduce adoption risk at all”?</w:t>
      </w:r>
    </w:p>
    <w:p w14:paraId="2509DC6A" w14:textId="77777777" w:rsidR="005721E5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Would your organization wait for NTAP (New Technology Add-On Payment) before using Product X for all patients?</w:t>
      </w:r>
    </w:p>
    <w:p w14:paraId="06599073" w14:textId="2BF099B6" w:rsidR="005721E5" w:rsidRPr="00CC1AA9" w:rsidRDefault="00134B51" w:rsidP="00CC1A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lastRenderedPageBreak/>
        <w:t xml:space="preserve">Please </w:t>
      </w:r>
      <w:r w:rsidR="00FB3903">
        <w:rPr>
          <w:rFonts w:ascii="Calibri" w:eastAsia="Calibri" w:hAnsi="Calibri" w:cs="Calibri"/>
          <w:color w:val="1F497D" w:themeColor="text2"/>
          <w:lang w:val="en-US"/>
        </w:rPr>
        <w:t>estimate</w:t>
      </w:r>
      <w:r w:rsidR="00FB3903" w:rsidRPr="00CC1AA9">
        <w:rPr>
          <w:rFonts w:ascii="Calibri" w:eastAsia="Calibri" w:hAnsi="Calibri" w:cs="Calibri"/>
          <w:color w:val="1F497D" w:themeColor="text2"/>
          <w:lang w:val="en-US"/>
        </w:rPr>
        <w:t xml:space="preserve"> </w:t>
      </w:r>
      <w:r w:rsidRPr="00CC1AA9">
        <w:rPr>
          <w:rFonts w:ascii="Calibri" w:eastAsia="Calibri" w:hAnsi="Calibri" w:cs="Calibri"/>
          <w:color w:val="1F497D" w:themeColor="text2"/>
          <w:lang w:val="en-US"/>
        </w:rPr>
        <w:t>the % of adoption as a % of patients under:</w:t>
      </w:r>
    </w:p>
    <w:p w14:paraId="35073943" w14:textId="77777777" w:rsidR="005721E5" w:rsidRPr="00CC1AA9" w:rsidRDefault="00134B51" w:rsidP="00CC1AA9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No NTAP</w:t>
      </w:r>
    </w:p>
    <w:p w14:paraId="712C7CA1" w14:textId="77777777" w:rsidR="005721E5" w:rsidRPr="00CC1AA9" w:rsidRDefault="00134B51" w:rsidP="00CC1AA9">
      <w:pPr>
        <w:pStyle w:val="ListBullet"/>
        <w:numPr>
          <w:ilvl w:val="0"/>
          <w:numId w:val="11"/>
        </w:numPr>
        <w:rPr>
          <w:rFonts w:ascii="Calibri" w:eastAsia="Calibri" w:hAnsi="Calibri" w:cs="Calibri"/>
          <w:color w:val="1F497D" w:themeColor="text2"/>
          <w:lang w:val="en-US"/>
        </w:r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NTAP covering ~65% of the cost</w:t>
      </w:r>
    </w:p>
    <w:p w14:paraId="6CEFD775" w14:textId="48459ACE" w:rsidR="005721E5" w:rsidRDefault="00134B51" w:rsidP="00CC1AA9">
      <w:pPr>
        <w:pStyle w:val="ListBullet"/>
        <w:numPr>
          <w:ilvl w:val="0"/>
          <w:numId w:val="11"/>
        </w:numPr>
      </w:pPr>
      <w:r w:rsidRPr="00CC1AA9">
        <w:rPr>
          <w:rFonts w:ascii="Calibri" w:eastAsia="Calibri" w:hAnsi="Calibri" w:cs="Calibri"/>
          <w:color w:val="1F497D" w:themeColor="text2"/>
          <w:lang w:val="en-US"/>
        </w:rPr>
        <w:t>Permanent DRG increase</w:t>
      </w:r>
    </w:p>
    <w:p w14:paraId="68B13913" w14:textId="53F69722" w:rsidR="00A4551D" w:rsidRDefault="000B48C0" w:rsidP="00CC1AA9">
      <w:pPr>
        <w:pStyle w:val="Heading2"/>
      </w:pPr>
      <w:bookmarkStart w:id="0" w:name="_heading=h.lxz2qejs0rvf" w:colFirst="0" w:colLast="0"/>
      <w:bookmarkEnd w:id="0"/>
      <w:r w:rsidRPr="000B48C0">
        <w:t xml:space="preserve">Product X: TPP based on Phase 2 </w:t>
      </w:r>
      <w:r w:rsidR="00CB1B75">
        <w:t>data with sensible calibration for Phase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015"/>
      </w:tblGrid>
      <w:tr w:rsidR="00A4551D" w14:paraId="74498F61" w14:textId="77777777" w:rsidTr="00A4551D">
        <w:tc>
          <w:tcPr>
            <w:tcW w:w="1615" w:type="dxa"/>
          </w:tcPr>
          <w:p w14:paraId="3BE0DAB0" w14:textId="3E370AA3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PRODUCT X</w:t>
            </w:r>
          </w:p>
        </w:tc>
        <w:tc>
          <w:tcPr>
            <w:tcW w:w="7015" w:type="dxa"/>
          </w:tcPr>
          <w:p w14:paraId="609FD679" w14:textId="77777777" w:rsidR="00A4551D" w:rsidRPr="00CC1AA9" w:rsidRDefault="00A4551D" w:rsidP="00A45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1.0ml/kg/</w:t>
            </w:r>
            <w:proofErr w:type="spellStart"/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hr</w:t>
            </w:r>
            <w:proofErr w:type="spellEnd"/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infusion for 48 hours </w:t>
            </w:r>
          </w:p>
          <w:p w14:paraId="62356C40" w14:textId="55E4FA97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 protects cells under stress by enhancing mitochondrial function, dampening inflammation, and activating pro-survival pathways </w:t>
            </w:r>
          </w:p>
          <w:p w14:paraId="6D035F77" w14:textId="77777777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2EC3925C" w14:textId="77777777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Product X is supplied ready to infuse in 500mL IV bags. (no need for re-constitution)</w:t>
            </w:r>
          </w:p>
          <w:p w14:paraId="2F4371CD" w14:textId="77777777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4302239F" w14:textId="4ADD42F0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 needs to be stored at 2-8°C in the pharmacy or can be stored in the suite to be infused immediately post- EVT.  </w:t>
            </w:r>
          </w:p>
          <w:p w14:paraId="36F79DCD" w14:textId="77777777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3C326495" w14:textId="660ABEE1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 infusion will depend on the weight of the patient. A single IV bag can be infused for 6-8 hours based on the patient weight, and the bags need to be changed up till 48 hours. </w:t>
            </w:r>
          </w:p>
        </w:tc>
      </w:tr>
      <w:tr w:rsidR="00A4551D" w14:paraId="16ED799D" w14:textId="77777777" w:rsidTr="00A4551D">
        <w:tc>
          <w:tcPr>
            <w:tcW w:w="1615" w:type="dxa"/>
          </w:tcPr>
          <w:p w14:paraId="450E619E" w14:textId="191FC248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INDICATION</w:t>
            </w:r>
          </w:p>
        </w:tc>
        <w:tc>
          <w:tcPr>
            <w:tcW w:w="7015" w:type="dxa"/>
          </w:tcPr>
          <w:p w14:paraId="726D0305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Treatment of adults suffering from acute ischemic stroke who undergo endovascular thrombectomy</w:t>
            </w:r>
          </w:p>
          <w:p w14:paraId="53C3BB18" w14:textId="5B19BFDD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Treatment of adults suffering from acute ischemic stroke</w:t>
            </w:r>
          </w:p>
        </w:tc>
      </w:tr>
      <w:tr w:rsidR="00A4551D" w14:paraId="7C956C7A" w14:textId="77777777" w:rsidTr="00A4551D">
        <w:tc>
          <w:tcPr>
            <w:tcW w:w="1615" w:type="dxa"/>
          </w:tcPr>
          <w:p w14:paraId="2F5F331C" w14:textId="05E2749B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EFFICACY</w:t>
            </w:r>
          </w:p>
        </w:tc>
        <w:tc>
          <w:tcPr>
            <w:tcW w:w="7015" w:type="dxa"/>
          </w:tcPr>
          <w:p w14:paraId="083A5C40" w14:textId="77777777" w:rsidR="00F0506A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proofErr w:type="spellStart"/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mRS.</w:t>
            </w:r>
            <w:proofErr w:type="spellEnd"/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Primary endpoint* </w:t>
            </w:r>
          </w:p>
          <w:p w14:paraId="24395BD4" w14:textId="7C9F5986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13% -</w:t>
            </w:r>
            <w:r w:rsidR="00FB3903"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 xml:space="preserve"> </w:t>
            </w: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16%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more patients in the</w:t>
            </w:r>
            <w:r w:rsidR="00FB3903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X-treated group had </w:t>
            </w:r>
            <w:proofErr w:type="spellStart"/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mRS</w:t>
            </w:r>
            <w:proofErr w:type="spellEnd"/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scores from 0-2 [minimal or no disability] at Day 90 as compared to the placebo-treated group patients [OR = 2.0]</w:t>
            </w:r>
          </w:p>
          <w:p w14:paraId="4784882A" w14:textId="77777777" w:rsidR="00A4551D" w:rsidRPr="00CC1AA9" w:rsidRDefault="00A4551D" w:rsidP="00A45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42689D48" w14:textId="573D3D4B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Barthel Index</w:t>
            </w:r>
            <w:r w:rsidR="0003649E">
              <w:rPr>
                <w:rFonts w:ascii="Calibri" w:eastAsia="Calibri" w:hAnsi="Calibri" w:cs="Calibri"/>
                <w:color w:val="1F497D" w:themeColor="text2"/>
                <w:lang w:val="en-US"/>
              </w:rPr>
              <w:t>**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</w:t>
            </w:r>
          </w:p>
          <w:p w14:paraId="4266ADD2" w14:textId="379A8D84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18%-28%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more patients in the Product X-treated group had a Barthel Index score of 95 or greater (minimal or no disability) at Day 90 as compared to the placebo-treated patients [OR =</w:t>
            </w:r>
            <w:r w:rsidR="00FB3903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2.5]</w:t>
            </w:r>
          </w:p>
          <w:p w14:paraId="782722E2" w14:textId="77777777" w:rsidR="00A4551D" w:rsidRPr="00CC1AA9" w:rsidRDefault="00A4551D" w:rsidP="00A45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107230E4" w14:textId="767C5E72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NIHSS score change from baseline</w:t>
            </w:r>
            <w:r w:rsidR="0003649E">
              <w:rPr>
                <w:rFonts w:ascii="Calibri" w:eastAsia="Calibri" w:hAnsi="Calibri" w:cs="Calibri"/>
                <w:color w:val="1F497D" w:themeColor="text2"/>
                <w:lang w:val="en-US"/>
              </w:rPr>
              <w:t>***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</w:t>
            </w:r>
          </w:p>
          <w:p w14:paraId="07CA46D1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X-treated patients had a </w:t>
            </w: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3-4 point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greater reduction in their NIHSS score from baseline at Day 90 as compared to the placebo-treated patients (indicative of less impairment)</w:t>
            </w:r>
          </w:p>
          <w:p w14:paraId="760B64F0" w14:textId="77777777" w:rsidR="00A4551D" w:rsidRPr="00CC1AA9" w:rsidRDefault="00A4551D" w:rsidP="00A45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2E2C410D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Mortality </w:t>
            </w:r>
          </w:p>
          <w:p w14:paraId="72C85EEB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Product X-treated patients had a </w:t>
            </w: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15%-30%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lower risk of mortality through 90 days as compared to the placebo-treated patients</w:t>
            </w:r>
          </w:p>
          <w:p w14:paraId="0BEE5D5A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52800276" w14:textId="00F52666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Infa</w:t>
            </w:r>
            <w:r w:rsidR="00FB3903">
              <w:rPr>
                <w:rFonts w:ascii="Calibri" w:eastAsia="Calibri" w:hAnsi="Calibri" w:cs="Calibri"/>
                <w:color w:val="1F497D" w:themeColor="text2"/>
                <w:lang w:val="en-US"/>
              </w:rPr>
              <w:t>r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ct Volume</w:t>
            </w:r>
          </w:p>
          <w:p w14:paraId="7238800D" w14:textId="13EB4E9F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lastRenderedPageBreak/>
              <w:t xml:space="preserve">Product X-treated patients had </w:t>
            </w: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20-30%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less infarct volume growth from baseline to 48 hours as compared to placebo-treated patients</w:t>
            </w:r>
          </w:p>
        </w:tc>
      </w:tr>
      <w:tr w:rsidR="00A4551D" w14:paraId="2EDEFA8E" w14:textId="77777777" w:rsidTr="00A4551D">
        <w:tc>
          <w:tcPr>
            <w:tcW w:w="1615" w:type="dxa"/>
          </w:tcPr>
          <w:p w14:paraId="0B6F8AF8" w14:textId="4533F6DD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lastRenderedPageBreak/>
              <w:t>SAFETY</w:t>
            </w:r>
          </w:p>
        </w:tc>
        <w:tc>
          <w:tcPr>
            <w:tcW w:w="7015" w:type="dxa"/>
          </w:tcPr>
          <w:p w14:paraId="75925299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There was no significant difference in the percentage of Product X-treated patients who suffered a Serious Adverse Event (SAE) </w:t>
            </w:r>
          </w:p>
          <w:p w14:paraId="0977C161" w14:textId="77777777" w:rsidR="00A4551D" w:rsidRPr="00CC1AA9" w:rsidRDefault="00A4551D" w:rsidP="00A4551D">
            <w:pPr>
              <w:widowControl w:val="0"/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51330F4E" w14:textId="52425B36" w:rsidR="00A4551D" w:rsidRPr="00CC1AA9" w:rsidRDefault="00A4551D" w:rsidP="00A4551D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Transient headache</w:t>
            </w:r>
          </w:p>
        </w:tc>
      </w:tr>
      <w:tr w:rsidR="00A4551D" w14:paraId="4AFB5E62" w14:textId="77777777" w:rsidTr="00A4551D">
        <w:tc>
          <w:tcPr>
            <w:tcW w:w="1615" w:type="dxa"/>
          </w:tcPr>
          <w:p w14:paraId="56B21091" w14:textId="77777777" w:rsidR="00A4551D" w:rsidRPr="00CC1AA9" w:rsidRDefault="00A4551D" w:rsidP="00CC1AA9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COST-RELATED</w:t>
            </w:r>
          </w:p>
          <w:p w14:paraId="3B3EDD8C" w14:textId="08325E60" w:rsidR="00A4551D" w:rsidRPr="00CC1AA9" w:rsidRDefault="00A4551D" w:rsidP="00FB3903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>OUTCOMES</w:t>
            </w:r>
          </w:p>
        </w:tc>
        <w:tc>
          <w:tcPr>
            <w:tcW w:w="7015" w:type="dxa"/>
          </w:tcPr>
          <w:p w14:paraId="0F5B383C" w14:textId="77777777" w:rsidR="00A4551D" w:rsidRPr="00CC1AA9" w:rsidRDefault="00A4551D" w:rsidP="00CC1AA9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3-5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days fewer hospital days </w:t>
            </w:r>
          </w:p>
          <w:p w14:paraId="3989017B" w14:textId="77777777" w:rsidR="00A4551D" w:rsidRPr="00CC1AA9" w:rsidRDefault="00A4551D" w:rsidP="00CC1AA9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  <w:p w14:paraId="580AA18D" w14:textId="77777777" w:rsidR="00A4551D" w:rsidRPr="00CC1AA9" w:rsidRDefault="00A4551D" w:rsidP="00CC1AA9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  <w:r w:rsidRPr="00F0506A">
              <w:rPr>
                <w:rFonts w:ascii="Calibri" w:eastAsia="Calibri" w:hAnsi="Calibri" w:cs="Calibri"/>
                <w:b/>
                <w:bCs/>
                <w:color w:val="1F497D" w:themeColor="text2"/>
                <w:lang w:val="en-US"/>
              </w:rPr>
              <w:t>15%-30%</w:t>
            </w:r>
            <w:r w:rsidRPr="00CC1AA9">
              <w:rPr>
                <w:rFonts w:ascii="Calibri" w:eastAsia="Calibri" w:hAnsi="Calibri" w:cs="Calibri"/>
                <w:color w:val="1F497D" w:themeColor="text2"/>
                <w:lang w:val="en-US"/>
              </w:rPr>
              <w:t xml:space="preserve"> more patients discharged to home</w:t>
            </w:r>
          </w:p>
          <w:p w14:paraId="75C61408" w14:textId="77777777" w:rsidR="00A4551D" w:rsidRPr="00CC1AA9" w:rsidRDefault="00A4551D" w:rsidP="00FB3903">
            <w:pPr>
              <w:rPr>
                <w:rFonts w:ascii="Calibri" w:eastAsia="Calibri" w:hAnsi="Calibri" w:cs="Calibri"/>
                <w:color w:val="1F497D" w:themeColor="text2"/>
                <w:lang w:val="en-US"/>
              </w:rPr>
            </w:pPr>
          </w:p>
        </w:tc>
      </w:tr>
    </w:tbl>
    <w:p w14:paraId="0F92DEFF" w14:textId="77777777" w:rsidR="0003649E" w:rsidRDefault="0003649E" w:rsidP="0003649E">
      <w:pPr>
        <w:rPr>
          <w:i/>
          <w:iCs/>
          <w:sz w:val="20"/>
          <w:szCs w:val="20"/>
        </w:rPr>
      </w:pPr>
    </w:p>
    <w:p w14:paraId="3712EBAF" w14:textId="03131ED7" w:rsidR="0003649E" w:rsidRPr="00543C3C" w:rsidRDefault="0003649E" w:rsidP="0003649E">
      <w:pPr>
        <w:rPr>
          <w:i/>
          <w:iCs/>
          <w:sz w:val="20"/>
          <w:szCs w:val="20"/>
        </w:rPr>
      </w:pPr>
      <w:r w:rsidRPr="00543C3C">
        <w:rPr>
          <w:i/>
          <w:iCs/>
          <w:sz w:val="20"/>
          <w:szCs w:val="20"/>
        </w:rPr>
        <w:t>*Note: The modified Rankin Scale (</w:t>
      </w:r>
      <w:proofErr w:type="spellStart"/>
      <w:r w:rsidRPr="00543C3C">
        <w:rPr>
          <w:i/>
          <w:iCs/>
          <w:sz w:val="20"/>
          <w:szCs w:val="20"/>
        </w:rPr>
        <w:t>mRS</w:t>
      </w:r>
      <w:proofErr w:type="spellEnd"/>
      <w:r w:rsidRPr="00543C3C">
        <w:rPr>
          <w:i/>
          <w:iCs/>
          <w:sz w:val="20"/>
          <w:szCs w:val="20"/>
        </w:rPr>
        <w:t xml:space="preserve">) is a commonly used scale for measuring the degree of dependence vs. independence of people who have suffered a stroke. The </w:t>
      </w:r>
      <w:proofErr w:type="spellStart"/>
      <w:r w:rsidRPr="00543C3C">
        <w:rPr>
          <w:i/>
          <w:iCs/>
          <w:sz w:val="20"/>
          <w:szCs w:val="20"/>
        </w:rPr>
        <w:t>mRS</w:t>
      </w:r>
      <w:proofErr w:type="spellEnd"/>
      <w:r w:rsidRPr="00543C3C">
        <w:rPr>
          <w:i/>
          <w:iCs/>
          <w:sz w:val="20"/>
          <w:szCs w:val="20"/>
        </w:rPr>
        <w:t xml:space="preserve"> is an ordered scale coded from 0 (no symptoms at all) through 5 (severe disability), 6 (death).</w:t>
      </w:r>
    </w:p>
    <w:p w14:paraId="6BE85F61" w14:textId="77777777" w:rsidR="0003649E" w:rsidRPr="00543C3C" w:rsidRDefault="0003649E" w:rsidP="0003649E">
      <w:pPr>
        <w:rPr>
          <w:i/>
          <w:iCs/>
          <w:sz w:val="20"/>
          <w:szCs w:val="20"/>
        </w:rPr>
      </w:pPr>
      <w:r w:rsidRPr="00543C3C">
        <w:t>**</w:t>
      </w:r>
      <w:r w:rsidRPr="00543C3C">
        <w:rPr>
          <w:i/>
          <w:iCs/>
          <w:sz w:val="20"/>
          <w:szCs w:val="20"/>
        </w:rPr>
        <w:t>The Barthel Index (BI) is a validated ordinal scale used to quantify functional independence in activities of daily living (ADLs), particularly in patients with neurological conditions such as stroke.</w:t>
      </w:r>
    </w:p>
    <w:p w14:paraId="4C9FFF07" w14:textId="77777777" w:rsidR="0003649E" w:rsidRPr="00543C3C" w:rsidRDefault="0003649E" w:rsidP="0003649E">
      <w:pPr>
        <w:rPr>
          <w:i/>
          <w:iCs/>
          <w:sz w:val="20"/>
          <w:szCs w:val="20"/>
        </w:rPr>
      </w:pPr>
      <w:r w:rsidRPr="00543C3C">
        <w:rPr>
          <w:i/>
          <w:iCs/>
          <w:sz w:val="20"/>
          <w:szCs w:val="20"/>
        </w:rPr>
        <w:t>***The scale is made up of 11 different elements that evaluate specific abilities. The score for each ability is a number between 0 and 4, 0 being normal functioning and 4 being completely impaired. The patient's NIHSS score is calculated by adding the number for each element of the scale; 42 is the highest score possible. In the NIHSS, the higher the score, the more impaired a stroke patient is.</w:t>
      </w:r>
    </w:p>
    <w:p w14:paraId="2A6E9ECF" w14:textId="5B4D145C" w:rsidR="005721E5" w:rsidRDefault="005721E5" w:rsidP="0003649E">
      <w:pPr>
        <w:rPr>
          <w:i/>
          <w:iCs/>
          <w:sz w:val="20"/>
          <w:szCs w:val="20"/>
        </w:rPr>
      </w:pPr>
    </w:p>
    <w:sectPr w:rsidR="005721E5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EE85" w14:textId="77777777" w:rsidR="008C3E5C" w:rsidRDefault="008C3E5C">
      <w:pPr>
        <w:spacing w:after="0" w:line="240" w:lineRule="auto"/>
      </w:pPr>
      <w:r>
        <w:separator/>
      </w:r>
    </w:p>
  </w:endnote>
  <w:endnote w:type="continuationSeparator" w:id="0">
    <w:p w14:paraId="30809B86" w14:textId="77777777" w:rsidR="008C3E5C" w:rsidRDefault="008C3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1" w:fontKey="{2D238B1B-64AA-4E3D-8B27-CC7DFF155EBA}"/>
    <w:embedBold r:id="rId2" w:fontKey="{8DEF79DD-2AAC-41DC-925D-E536AB149589}"/>
    <w:embedItalic r:id="rId3" w:fontKey="{A7A4E68E-AA30-408D-8F6C-85D39ADF4C53}"/>
    <w:embedBoldItalic r:id="rId4" w:fontKey="{3976D002-01F1-40C6-8083-ED01BFD3F0A6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FF14EDD5-5339-4B60-9ABE-854A29EF7287}"/>
    <w:embedBold r:id="rId6" w:fontKey="{C854B743-D8B8-490D-BA34-6555D3EDCCA7}"/>
    <w:embedItalic r:id="rId7" w:fontKey="{59532BC3-DDA2-45A8-8212-7B8D64109677}"/>
    <w:embedBoldItalic r:id="rId8" w:fontKey="{11A52891-0F90-4753-974D-F26DD97A7FB3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5583E53C-A149-437B-83D9-7ADBB8325C7C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10" w:fontKey="{55EF6F0B-E85D-4EF1-AEEF-C6CA76E602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5DF2E" w14:textId="77777777" w:rsidR="005721E5" w:rsidRDefault="00134B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85E6115" wp14:editId="77BF24F0">
          <wp:simplePos x="0" y="0"/>
          <wp:positionH relativeFrom="column">
            <wp:posOffset>837247</wp:posOffset>
          </wp:positionH>
          <wp:positionV relativeFrom="paragraph">
            <wp:posOffset>0</wp:posOffset>
          </wp:positionV>
          <wp:extent cx="3811905" cy="952500"/>
          <wp:effectExtent l="0" t="0" r="0" b="0"/>
          <wp:wrapTopAndBottom distT="0" distB="0"/>
          <wp:docPr id="1586150039" name="image1.png" descr="A close-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190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A07F" w14:textId="77777777" w:rsidR="008C3E5C" w:rsidRDefault="008C3E5C">
      <w:pPr>
        <w:spacing w:after="0" w:line="240" w:lineRule="auto"/>
      </w:pPr>
      <w:r>
        <w:separator/>
      </w:r>
    </w:p>
  </w:footnote>
  <w:footnote w:type="continuationSeparator" w:id="0">
    <w:p w14:paraId="6C223B9F" w14:textId="77777777" w:rsidR="008C3E5C" w:rsidRDefault="008C3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577B" w14:textId="77777777" w:rsidR="005721E5" w:rsidRDefault="00134B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8192A">
      <w:rPr>
        <w:noProof/>
        <w:color w:val="000000"/>
      </w:rPr>
      <w:t>1</w:t>
    </w:r>
    <w:r>
      <w:rPr>
        <w:color w:val="000000"/>
      </w:rPr>
      <w:fldChar w:fldCharType="end"/>
    </w:r>
  </w:p>
  <w:p w14:paraId="0710C6AE" w14:textId="77777777" w:rsidR="005721E5" w:rsidRDefault="005721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9622A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D8B354C"/>
    <w:multiLevelType w:val="hybridMultilevel"/>
    <w:tmpl w:val="C248E07A"/>
    <w:lvl w:ilvl="0" w:tplc="AF8AD228">
      <w:start w:val="7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C59F5"/>
    <w:multiLevelType w:val="multilevel"/>
    <w:tmpl w:val="2BF84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D797A"/>
    <w:multiLevelType w:val="multilevel"/>
    <w:tmpl w:val="2BF84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083567"/>
    <w:multiLevelType w:val="multilevel"/>
    <w:tmpl w:val="E9D2A140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007974"/>
    <w:multiLevelType w:val="multilevel"/>
    <w:tmpl w:val="5002F4A6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3902EC"/>
    <w:multiLevelType w:val="multilevel"/>
    <w:tmpl w:val="6F28B9FE"/>
    <w:lvl w:ilvl="0">
      <w:start w:val="1"/>
      <w:numFmt w:val="decimal"/>
      <w:pStyle w:val="ListBullet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605C4"/>
    <w:multiLevelType w:val="multilevel"/>
    <w:tmpl w:val="5F6AC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55BD7"/>
    <w:multiLevelType w:val="multilevel"/>
    <w:tmpl w:val="27FEC2BE"/>
    <w:lvl w:ilvl="0">
      <w:start w:val="1"/>
      <w:numFmt w:val="decimal"/>
      <w:pStyle w:val="ListNumber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F75F2"/>
    <w:multiLevelType w:val="multilevel"/>
    <w:tmpl w:val="2BF84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974EB"/>
    <w:multiLevelType w:val="multilevel"/>
    <w:tmpl w:val="79260D9C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70A0112"/>
    <w:multiLevelType w:val="multilevel"/>
    <w:tmpl w:val="8738FA66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216772">
    <w:abstractNumId w:val="6"/>
  </w:num>
  <w:num w:numId="2" w16cid:durableId="703019511">
    <w:abstractNumId w:val="4"/>
  </w:num>
  <w:num w:numId="3" w16cid:durableId="1481458919">
    <w:abstractNumId w:val="5"/>
  </w:num>
  <w:num w:numId="4" w16cid:durableId="1955945248">
    <w:abstractNumId w:val="3"/>
  </w:num>
  <w:num w:numId="5" w16cid:durableId="1813211855">
    <w:abstractNumId w:val="11"/>
  </w:num>
  <w:num w:numId="6" w16cid:durableId="2036150032">
    <w:abstractNumId w:val="8"/>
  </w:num>
  <w:num w:numId="7" w16cid:durableId="1227496364">
    <w:abstractNumId w:val="10"/>
  </w:num>
  <w:num w:numId="8" w16cid:durableId="1461218180">
    <w:abstractNumId w:val="2"/>
  </w:num>
  <w:num w:numId="9" w16cid:durableId="663047230">
    <w:abstractNumId w:val="9"/>
  </w:num>
  <w:num w:numId="10" w16cid:durableId="2097898441">
    <w:abstractNumId w:val="1"/>
  </w:num>
  <w:num w:numId="11" w16cid:durableId="1389843856">
    <w:abstractNumId w:val="7"/>
  </w:num>
  <w:num w:numId="12" w16cid:durableId="1631126518">
    <w:abstractNumId w:val="0"/>
  </w:num>
  <w:num w:numId="13" w16cid:durableId="2046251517">
    <w:abstractNumId w:val="6"/>
  </w:num>
  <w:num w:numId="14" w16cid:durableId="128786588">
    <w:abstractNumId w:val="6"/>
  </w:num>
  <w:num w:numId="15" w16cid:durableId="359860424">
    <w:abstractNumId w:val="6"/>
  </w:num>
  <w:num w:numId="16" w16cid:durableId="1008368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1E5"/>
    <w:rsid w:val="0003649E"/>
    <w:rsid w:val="0006542D"/>
    <w:rsid w:val="00082558"/>
    <w:rsid w:val="000B48C0"/>
    <w:rsid w:val="000E36C3"/>
    <w:rsid w:val="00134B51"/>
    <w:rsid w:val="0021047D"/>
    <w:rsid w:val="00213B55"/>
    <w:rsid w:val="0025255E"/>
    <w:rsid w:val="00263EF4"/>
    <w:rsid w:val="00325069"/>
    <w:rsid w:val="003912C6"/>
    <w:rsid w:val="003E7896"/>
    <w:rsid w:val="00455770"/>
    <w:rsid w:val="004C6A79"/>
    <w:rsid w:val="0057074E"/>
    <w:rsid w:val="005721E5"/>
    <w:rsid w:val="005E213F"/>
    <w:rsid w:val="00717A8A"/>
    <w:rsid w:val="00783D95"/>
    <w:rsid w:val="007D1325"/>
    <w:rsid w:val="008C3E5C"/>
    <w:rsid w:val="009E7432"/>
    <w:rsid w:val="00A077A5"/>
    <w:rsid w:val="00A4551D"/>
    <w:rsid w:val="00A64A7A"/>
    <w:rsid w:val="00AA47CB"/>
    <w:rsid w:val="00AA5D37"/>
    <w:rsid w:val="00AA6099"/>
    <w:rsid w:val="00AE7E1B"/>
    <w:rsid w:val="00B31ECD"/>
    <w:rsid w:val="00CB1B75"/>
    <w:rsid w:val="00CC0001"/>
    <w:rsid w:val="00CC1AA9"/>
    <w:rsid w:val="00CE6704"/>
    <w:rsid w:val="00D8161B"/>
    <w:rsid w:val="00D8705C"/>
    <w:rsid w:val="00E5054C"/>
    <w:rsid w:val="00E8192A"/>
    <w:rsid w:val="00F0506A"/>
    <w:rsid w:val="00F57023"/>
    <w:rsid w:val="00FB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0FAB"/>
  <w15:docId w15:val="{3350B138-D3DF-AA4E-92E6-5F189495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6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E8192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819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19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19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9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192A"/>
    <w:rPr>
      <w:b/>
      <w:bCs/>
      <w:sz w:val="20"/>
      <w:szCs w:val="20"/>
    </w:rPr>
  </w:style>
  <w:style w:type="table" w:styleId="GridTable2-Accent1">
    <w:name w:val="Grid Table 2 Accent 1"/>
    <w:basedOn w:val="TableNormal"/>
    <w:uiPriority w:val="47"/>
    <w:rsid w:val="003912C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">
    <w:name w:val="Grid Table 2"/>
    <w:basedOn w:val="TableNormal"/>
    <w:uiPriority w:val="47"/>
    <w:rsid w:val="003912C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3912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QfgeFLFer4j13D12Dz1OZMMVQ==">CgMxLjAaHwoBMBIaChgICVIUChJ0YWJsZS5wcW5mOHJhdzNjdTIyDmgubHh6MnFlanMwcnZmOAByITFqZFQtMThITDlULWUtLWw5RTEzYzVRUVJHOWZHOHhSVw==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Berrak Kocaoglu</cp:lastModifiedBy>
  <cp:revision>4</cp:revision>
  <dcterms:created xsi:type="dcterms:W3CDTF">2026-03-20T15:27:00Z</dcterms:created>
  <dcterms:modified xsi:type="dcterms:W3CDTF">2026-03-25T12:50:00Z</dcterms:modified>
</cp:coreProperties>
</file>