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B5D7" w14:textId="62F109C1" w:rsidR="005721E5" w:rsidRPr="009A53ED" w:rsidRDefault="00134B51" w:rsidP="007B0FFA">
      <w:pPr>
        <w:pStyle w:val="Heading1"/>
        <w:jc w:val="center"/>
        <w:rPr>
          <w:rFonts w:ascii="Times New Roman" w:hAnsi="Times New Roman" w:cs="Times New Roman"/>
          <w:b w:val="0"/>
          <w:bCs w:val="0"/>
          <w:color w:val="000000" w:themeColor="text1"/>
        </w:rPr>
      </w:pPr>
      <w:bookmarkStart w:id="0" w:name="_Hlk225601901"/>
      <w:r w:rsidRPr="009A53ED">
        <w:rPr>
          <w:rFonts w:ascii="Times New Roman" w:hAnsi="Times New Roman" w:cs="Times New Roman"/>
          <w:b w:val="0"/>
          <w:bCs w:val="0"/>
          <w:color w:val="000000" w:themeColor="text1"/>
        </w:rPr>
        <w:t>Product X</w:t>
      </w:r>
      <w:r w:rsidR="00FB3903" w:rsidRPr="009A53ED">
        <w:rPr>
          <w:rFonts w:ascii="Times New Roman" w:hAnsi="Times New Roman" w:cs="Times New Roman"/>
          <w:b w:val="0"/>
          <w:bCs w:val="0"/>
          <w:color w:val="000000" w:themeColor="text1"/>
        </w:rPr>
        <w:t>: Questions for Discussion</w:t>
      </w:r>
    </w:p>
    <w:p w14:paraId="6413B3E4" w14:textId="77777777" w:rsidR="005721E5" w:rsidRPr="009A53ED" w:rsidRDefault="00134B51">
      <w:pPr>
        <w:pStyle w:val="Heading2"/>
        <w:rPr>
          <w:rFonts w:ascii="Times New Roman" w:hAnsi="Times New Roman" w:cs="Times New Roman"/>
          <w:color w:val="000000" w:themeColor="text1"/>
        </w:rPr>
      </w:pPr>
      <w:r w:rsidRPr="009A53ED">
        <w:rPr>
          <w:rFonts w:ascii="Times New Roman" w:hAnsi="Times New Roman" w:cs="Times New Roman"/>
          <w:color w:val="000000" w:themeColor="text1"/>
        </w:rPr>
        <w:t>Section I: Background and Decision-Making Context</w:t>
      </w:r>
    </w:p>
    <w:p w14:paraId="183A3036" w14:textId="4601EEC6" w:rsidR="007B0FFA" w:rsidRPr="009A53ED" w:rsidRDefault="00134B51" w:rsidP="009A53ED">
      <w:pPr>
        <w:pStyle w:val="ListParagraph"/>
        <w:numPr>
          <w:ilvl w:val="0"/>
          <w:numId w:val="18"/>
        </w:numPr>
        <w:pBdr>
          <w:top w:val="nil"/>
          <w:left w:val="nil"/>
          <w:bottom w:val="nil"/>
          <w:right w:val="nil"/>
          <w:between w:val="nil"/>
        </w:pBdr>
        <w:spacing w:after="0"/>
        <w:rPr>
          <w:rFonts w:ascii="Times New Roman" w:eastAsia="Calibri" w:hAnsi="Times New Roman" w:cs="Times New Roman"/>
          <w:b/>
          <w:bCs/>
          <w:i/>
          <w:iCs/>
          <w:color w:val="000000" w:themeColor="text1"/>
          <w:sz w:val="24"/>
          <w:szCs w:val="24"/>
          <w:lang w:val="en-US"/>
        </w:rPr>
      </w:pPr>
      <w:bookmarkStart w:id="1" w:name="_Hlk225602177"/>
      <w:r w:rsidRPr="009A53ED">
        <w:rPr>
          <w:rFonts w:ascii="Times New Roman" w:eastAsia="Calibri" w:hAnsi="Times New Roman" w:cs="Times New Roman"/>
          <w:b/>
          <w:bCs/>
          <w:i/>
          <w:iCs/>
          <w:color w:val="000000" w:themeColor="text1"/>
          <w:sz w:val="24"/>
          <w:szCs w:val="24"/>
          <w:lang w:val="en-US"/>
        </w:rPr>
        <w:t xml:space="preserve">How do you evaluate unmet need in the treatment of </w:t>
      </w:r>
      <w:r w:rsidR="00783D95" w:rsidRPr="009A53ED">
        <w:rPr>
          <w:rFonts w:ascii="Times New Roman" w:eastAsia="Calibri" w:hAnsi="Times New Roman" w:cs="Times New Roman"/>
          <w:b/>
          <w:bCs/>
          <w:i/>
          <w:iCs/>
          <w:color w:val="000000" w:themeColor="text1"/>
          <w:sz w:val="24"/>
          <w:szCs w:val="24"/>
          <w:lang w:val="en-US"/>
        </w:rPr>
        <w:t xml:space="preserve">large vessel occlusion ischemic </w:t>
      </w:r>
      <w:r w:rsidRPr="009A53ED">
        <w:rPr>
          <w:rFonts w:ascii="Times New Roman" w:eastAsia="Calibri" w:hAnsi="Times New Roman" w:cs="Times New Roman"/>
          <w:b/>
          <w:bCs/>
          <w:i/>
          <w:iCs/>
          <w:color w:val="000000" w:themeColor="text1"/>
          <w:sz w:val="24"/>
          <w:szCs w:val="24"/>
          <w:lang w:val="en-US"/>
        </w:rPr>
        <w:t>stroke?</w:t>
      </w:r>
    </w:p>
    <w:p w14:paraId="09B1CD9E" w14:textId="749AEBD7" w:rsidR="009A53ED" w:rsidRPr="009A53ED" w:rsidRDefault="009A53ED" w:rsidP="009A53ED">
      <w:pPr>
        <w:pStyle w:val="p1"/>
      </w:pPr>
      <w:bookmarkStart w:id="2" w:name="_Hlk225707673"/>
      <w:bookmarkEnd w:id="1"/>
      <w:r w:rsidRPr="009A53ED">
        <w:t>U</w:t>
      </w:r>
      <w:r w:rsidRPr="009A53ED">
        <w:t xml:space="preserve">nmet need in large vessel occlusion (LVO) ischemic stroke is best defined by the gap between </w:t>
      </w:r>
      <w:r w:rsidRPr="009A53ED">
        <w:rPr>
          <w:rStyle w:val="s1"/>
          <w:b/>
          <w:bCs/>
        </w:rPr>
        <w:t>reperfusion and recovery</w:t>
      </w:r>
      <w:r w:rsidRPr="009A53ED">
        <w:t>. Endovascular thrombectomy (EVT) has materially improved the ability to restore blood flow, but it has not solved the downstream problem of patient outcomes. In real-world practice, a significant proportion of patients remain disabled or die despite technically successful EVT, with only about half achieving functional independence at 90 days.</w:t>
      </w:r>
    </w:p>
    <w:p w14:paraId="31111E20" w14:textId="5304C95F" w:rsidR="009A53ED" w:rsidRPr="009A53ED" w:rsidRDefault="009A53ED" w:rsidP="009A53ED">
      <w:pPr>
        <w:pStyle w:val="p1"/>
      </w:pPr>
      <w:r w:rsidRPr="009A53ED">
        <w:t xml:space="preserve">From my perspective, the most critical unmet need today is what happens </w:t>
      </w:r>
      <w:r w:rsidRPr="009A53ED">
        <w:rPr>
          <w:rStyle w:val="s1"/>
          <w:b/>
          <w:bCs/>
        </w:rPr>
        <w:t>after a successful EVT</w:t>
      </w:r>
      <w:r w:rsidRPr="009A53ED">
        <w:t>. There are currently no approved adjunctive therapies that actively improve neurologic recovery, shorten hospitalization, or increase the likelihood that patients return to independent living. Post-EVT care remains largely supportive rather than interventional.</w:t>
      </w:r>
    </w:p>
    <w:p w14:paraId="1AD2C373" w14:textId="26E362CD" w:rsidR="009A53ED" w:rsidRPr="009A53ED" w:rsidRDefault="009A53ED" w:rsidP="009A53ED">
      <w:pPr>
        <w:pStyle w:val="p1"/>
      </w:pPr>
      <w:r w:rsidRPr="009A53ED">
        <w:t xml:space="preserve">This gap has direct clinical and economic implications. Patients who do not recover independence require longer hospital stays, ICU care, and are more likely to be discharged to rehabilitation or skilled nursing facilities, driving substantial downstream cost. In contrast, therapies that improve functional outcomes and reduce length of stay directly address both the patient burden and the system-level cost burden. Product X’s Phase 2 data, which demonstrates shorter hospital stays and higher rates of discharge to home, is a clear example of targeting this unmet </w:t>
      </w:r>
      <w:proofErr w:type="gramStart"/>
      <w:r w:rsidRPr="009A53ED">
        <w:t>need</w:t>
      </w:r>
      <w:r w:rsidRPr="009A53ED">
        <w:rPr>
          <w:rStyle w:val="apple-converted-space"/>
        </w:rPr>
        <w:t xml:space="preserve"> </w:t>
      </w:r>
      <w:r w:rsidRPr="009A53ED">
        <w:t>.</w:t>
      </w:r>
      <w:proofErr w:type="gramEnd"/>
    </w:p>
    <w:p w14:paraId="2AC02623" w14:textId="77777777" w:rsidR="009A53ED" w:rsidRDefault="009A53ED" w:rsidP="009A53ED">
      <w:pPr>
        <w:pStyle w:val="p1"/>
      </w:pPr>
      <w:r w:rsidRPr="009A53ED">
        <w:t>In summary, EVT has addressed access to reperfusion, but not recovery. The unmet need is for therapies that improve outcomes after EVT, reduce hospitalization, and increase the probability of independent living. This aligns closely with payer priorities, as improved post-EVT outcomes translate directly into reduced downstream utilization and lower total cost of care.</w:t>
      </w:r>
    </w:p>
    <w:p w14:paraId="016DD517" w14:textId="62427645" w:rsidR="003E7896" w:rsidRPr="009A53ED" w:rsidRDefault="00134B51" w:rsidP="009A53ED">
      <w:pPr>
        <w:pStyle w:val="p1"/>
        <w:numPr>
          <w:ilvl w:val="0"/>
          <w:numId w:val="18"/>
        </w:numPr>
        <w:rPr>
          <w:b/>
          <w:bCs/>
          <w:i/>
          <w:iCs/>
        </w:rPr>
      </w:pPr>
      <w:r w:rsidRPr="009A53ED">
        <w:rPr>
          <w:rFonts w:eastAsia="Calibri"/>
          <w:b/>
          <w:bCs/>
          <w:i/>
          <w:iCs/>
          <w:color w:val="000000" w:themeColor="text1"/>
        </w:rPr>
        <w:t xml:space="preserve">On the medical benefit, how much does a patient suffering from </w:t>
      </w:r>
      <w:r w:rsidR="00CE6704" w:rsidRPr="009A53ED">
        <w:rPr>
          <w:rFonts w:eastAsia="Calibri"/>
          <w:b/>
          <w:bCs/>
          <w:i/>
          <w:iCs/>
          <w:color w:val="000000" w:themeColor="text1"/>
        </w:rPr>
        <w:t>a</w:t>
      </w:r>
      <w:r w:rsidR="00783D95" w:rsidRPr="009A53ED">
        <w:rPr>
          <w:rFonts w:eastAsia="Calibri"/>
          <w:b/>
          <w:bCs/>
          <w:i/>
          <w:iCs/>
          <w:color w:val="000000" w:themeColor="text1"/>
        </w:rPr>
        <w:t xml:space="preserve"> large vessel occlusion ischemic </w:t>
      </w:r>
      <w:r w:rsidRPr="009A53ED">
        <w:rPr>
          <w:rFonts w:eastAsia="Calibri"/>
          <w:b/>
          <w:bCs/>
          <w:i/>
          <w:iCs/>
          <w:color w:val="000000" w:themeColor="text1"/>
        </w:rPr>
        <w:t xml:space="preserve">stroke with post-endovascular thrombectomy cost? </w:t>
      </w:r>
    </w:p>
    <w:p w14:paraId="68A7BE25" w14:textId="7900E58A" w:rsidR="009A53ED" w:rsidRDefault="009A53ED" w:rsidP="009A53ED">
      <w:pPr>
        <w:pStyle w:val="p1"/>
      </w:pPr>
      <w:r>
        <w:t xml:space="preserve">From a medical benefit perspective, the cost of treating a patient with large vessel occlusion (LVO) ischemic stroke following endovascular thrombectomy (EVT) is substantial and varies by payer, though the underlying structure is consistent. For Medicare fee-for-service, these cases are reimbursed under the inpatient prospective payment system as a bundled DRG payment, typically falling in the range of approximately $25,000 to $50,000 per admission depending on severity and complications. Commercial payers generally reimburse at higher negotiated rates, often in the range of $60,000 to over $100,000 per case, reflecting both </w:t>
      </w:r>
      <w:proofErr w:type="gramStart"/>
      <w:r>
        <w:t>hospital</w:t>
      </w:r>
      <w:proofErr w:type="gramEnd"/>
      <w:r>
        <w:t xml:space="preserve"> contracting dynamics and higher baseline reimbursement levels. Real-world cost analyses are directionally consistent with these figures, showing total hospitalization costs commonly in the $30,000 to $50,000 range or higher, particularly for more complex patients.</w:t>
      </w:r>
    </w:p>
    <w:p w14:paraId="75C36104" w14:textId="603B4C89" w:rsidR="009A53ED" w:rsidRDefault="009A53ED" w:rsidP="009A53ED">
      <w:pPr>
        <w:pStyle w:val="p1"/>
      </w:pPr>
      <w:r>
        <w:t>In terms of utilization, these patients require a relatively intensive inpatient stay. On average, total hospital length of stay is approximately 6 to 8 days, though this can extend significantly in patients with complications or poor neurologic recovery. Within that stay, patients typically spend about 2 to 4 days in the ICU or neuro-ICU, with a median around 3 days, reflecting the need for close neurologic monitoring, management of potential complications such as edema or hemorrhagic transformation, and overall hemodynamic stability.</w:t>
      </w:r>
    </w:p>
    <w:p w14:paraId="2E6A0CE9" w14:textId="6A6554B0" w:rsidR="009A53ED" w:rsidRPr="009A53ED" w:rsidRDefault="009A53ED" w:rsidP="009A53ED">
      <w:pPr>
        <w:pStyle w:val="p1"/>
      </w:pPr>
      <w:r>
        <w:t>Importantly, both cost and length of stay are highly dependent on patient outcomes. Patients who recover more quickly and regain functional independence tend to have shorter hospital stays and lower total costs, while those with persistent deficits require prolonged ICU and inpatient care and are more likely to transition to post-acute facilities, further increasing total cost of care. This dynamic is central to how both providers and payers evaluate new therapies in this space.</w:t>
      </w:r>
    </w:p>
    <w:p w14:paraId="1BB57DD2" w14:textId="0AC34D01" w:rsidR="005721E5" w:rsidRPr="009A53ED" w:rsidRDefault="00134B51" w:rsidP="009A53ED">
      <w:pPr>
        <w:pStyle w:val="ListBullet"/>
        <w:numPr>
          <w:ilvl w:val="0"/>
          <w:numId w:val="18"/>
        </w:numPr>
        <w:rPr>
          <w:rFonts w:ascii="Times New Roman" w:eastAsia="Calibri" w:hAnsi="Times New Roman" w:cs="Times New Roman"/>
          <w:b/>
          <w:bCs/>
          <w:i/>
          <w:iCs/>
          <w:color w:val="000000" w:themeColor="text1"/>
          <w:lang w:val="en-US"/>
        </w:rPr>
      </w:pPr>
      <w:bookmarkStart w:id="3" w:name="_Hlk225708879"/>
      <w:bookmarkEnd w:id="2"/>
      <w:r w:rsidRPr="009A53ED">
        <w:rPr>
          <w:rFonts w:ascii="Times New Roman" w:eastAsia="Calibri" w:hAnsi="Times New Roman" w:cs="Times New Roman"/>
          <w:b/>
          <w:bCs/>
          <w:i/>
          <w:iCs/>
          <w:color w:val="000000" w:themeColor="text1"/>
          <w:lang w:val="en-US"/>
        </w:rPr>
        <w:t>How many days does a patient</w:t>
      </w:r>
      <w:r w:rsidR="00783D95" w:rsidRPr="009A53ED">
        <w:rPr>
          <w:rFonts w:ascii="Times New Roman" w:eastAsia="Calibri" w:hAnsi="Times New Roman" w:cs="Times New Roman"/>
          <w:b/>
          <w:bCs/>
          <w:i/>
          <w:iCs/>
          <w:color w:val="000000" w:themeColor="text1"/>
          <w:lang w:val="en-US"/>
        </w:rPr>
        <w:t xml:space="preserve"> who suffered from large vessel occlusion ischemic stroke and had an EVT</w:t>
      </w:r>
      <w:r w:rsidRPr="009A53ED">
        <w:rPr>
          <w:rFonts w:ascii="Times New Roman" w:eastAsia="Calibri" w:hAnsi="Times New Roman" w:cs="Times New Roman"/>
          <w:b/>
          <w:bCs/>
          <w:i/>
          <w:iCs/>
          <w:color w:val="000000" w:themeColor="text1"/>
          <w:lang w:val="en-US"/>
        </w:rPr>
        <w:t xml:space="preserve"> typically stay in the hospital / ICU and neuro-ICU?</w:t>
      </w:r>
    </w:p>
    <w:p w14:paraId="09965359" w14:textId="1E152112" w:rsidR="009A53ED" w:rsidRPr="009A53ED" w:rsidRDefault="009A53ED" w:rsidP="009A53ED">
      <w:pPr>
        <w:pStyle w:val="p1"/>
      </w:pPr>
      <w:r w:rsidRPr="009A53ED">
        <w:t xml:space="preserve">In current practice, patients with large vessel occlusion (LVO) ischemic stroke who undergo endovascular thrombectomy (EVT) typically require a </w:t>
      </w:r>
      <w:r w:rsidRPr="009A53ED">
        <w:rPr>
          <w:rStyle w:val="s1"/>
        </w:rPr>
        <w:t>moderate-length inpatient stay with a front-loaded ICU component</w:t>
      </w:r>
      <w:r w:rsidRPr="009A53ED">
        <w:t>, reflecting the acuity of the condition and the need for close neurologic monitoring post-procedure.</w:t>
      </w:r>
    </w:p>
    <w:p w14:paraId="3F25D3CE" w14:textId="480A2D90" w:rsidR="009A53ED" w:rsidRPr="009A53ED" w:rsidRDefault="009A53ED" w:rsidP="009A53ED">
      <w:pPr>
        <w:pStyle w:val="p1"/>
      </w:pPr>
      <w:r w:rsidRPr="009A53ED">
        <w:t xml:space="preserve">On average, total hospital length of stay is approximately </w:t>
      </w:r>
      <w:r w:rsidRPr="009A53ED">
        <w:rPr>
          <w:rStyle w:val="s1"/>
        </w:rPr>
        <w:t>6 to 8 days</w:t>
      </w:r>
      <w:r w:rsidRPr="009A53ED">
        <w:t>, though this varies meaningfully based on neurologic recovery and complications. Patients who stabilize quickly and demonstrate early neurologic improvement may be discharged closer to the lower end of that range, while those with larger infarcts, edema, or complications can remain hospitalized for 10 days or longer. This aligns with the Phase 2 data for Product X, where the control arm showed an average stay of approximately 10.8 days, highlighting how outcomes directly drive utilization.</w:t>
      </w:r>
    </w:p>
    <w:p w14:paraId="293B5556" w14:textId="77777777" w:rsidR="009A53ED" w:rsidRPr="009A53ED" w:rsidRDefault="009A53ED" w:rsidP="009A53ED">
      <w:pPr>
        <w:pStyle w:val="p1"/>
      </w:pPr>
      <w:r w:rsidRPr="009A53ED">
        <w:t xml:space="preserve">Within that hospitalization, patients typically spend </w:t>
      </w:r>
      <w:r w:rsidRPr="009A53ED">
        <w:rPr>
          <w:rStyle w:val="s1"/>
        </w:rPr>
        <w:t>2 to 4 days in the ICU or neuro-ICU</w:t>
      </w:r>
      <w:r w:rsidRPr="009A53ED">
        <w:t>, with a median of around 3 days. This ICU period is driven by the need for:</w:t>
      </w:r>
    </w:p>
    <w:p w14:paraId="6445935D" w14:textId="77777777" w:rsidR="009A53ED" w:rsidRPr="009A53ED" w:rsidRDefault="009A53ED" w:rsidP="009A53ED">
      <w:pPr>
        <w:pStyle w:val="p1"/>
        <w:numPr>
          <w:ilvl w:val="0"/>
          <w:numId w:val="19"/>
        </w:numPr>
      </w:pPr>
      <w:r w:rsidRPr="009A53ED">
        <w:t>Continuous neurologic assessments</w:t>
      </w:r>
    </w:p>
    <w:p w14:paraId="5C334FCB" w14:textId="77777777" w:rsidR="009A53ED" w:rsidRPr="009A53ED" w:rsidRDefault="009A53ED" w:rsidP="009A53ED">
      <w:pPr>
        <w:pStyle w:val="p1"/>
        <w:numPr>
          <w:ilvl w:val="0"/>
          <w:numId w:val="19"/>
        </w:numPr>
      </w:pPr>
      <w:r w:rsidRPr="009A53ED">
        <w:t>Monitoring for complications such as hemorrhagic transformation or cerebral edema</w:t>
      </w:r>
    </w:p>
    <w:p w14:paraId="1EB7ED04" w14:textId="1D99F526" w:rsidR="009A53ED" w:rsidRPr="009A53ED" w:rsidRDefault="009A53ED" w:rsidP="009A53ED">
      <w:pPr>
        <w:pStyle w:val="p1"/>
        <w:numPr>
          <w:ilvl w:val="0"/>
          <w:numId w:val="19"/>
        </w:numPr>
      </w:pPr>
      <w:r w:rsidRPr="009A53ED">
        <w:t>Hemodynamic and respiratory support in more severe cases</w:t>
      </w:r>
    </w:p>
    <w:p w14:paraId="280D5AD4" w14:textId="365E69BA" w:rsidR="009A53ED" w:rsidRPr="009A53ED" w:rsidRDefault="009A53ED" w:rsidP="009A53ED">
      <w:pPr>
        <w:pStyle w:val="p1"/>
      </w:pPr>
      <w:r w:rsidRPr="009A53ED">
        <w:t>After stabilization, patients are generally transferred to a step-down or general neurology unit for the remainder of their stay.</w:t>
      </w:r>
    </w:p>
    <w:p w14:paraId="7624A562" w14:textId="19E06EFA" w:rsidR="009A53ED" w:rsidRPr="009A53ED" w:rsidRDefault="009A53ED" w:rsidP="009A53ED">
      <w:pPr>
        <w:pStyle w:val="p1"/>
      </w:pPr>
      <w:r w:rsidRPr="009A53ED">
        <w:t>Importantly, length of stay is highly outcome-dependent. Patients who recover neurologically more quickly transition out of the ICU sooner and are discharged earlier, often directly to home. In contrast, patients with persistent deficits remain in higher-acuity settings longer and are more likely to require post-acute care. This variability is a key reason why therapies that can reduce ICU days and total hospital length of stay are viewed as clinically and economically meaningful.</w:t>
      </w:r>
    </w:p>
    <w:p w14:paraId="1CA8A374" w14:textId="77777777" w:rsidR="005721E5" w:rsidRPr="009A53ED" w:rsidRDefault="00134B51">
      <w:pPr>
        <w:pStyle w:val="Heading2"/>
        <w:rPr>
          <w:rFonts w:ascii="Times New Roman" w:hAnsi="Times New Roman" w:cs="Times New Roman"/>
          <w:b w:val="0"/>
          <w:bCs w:val="0"/>
          <w:color w:val="000000" w:themeColor="text1"/>
        </w:rPr>
      </w:pPr>
      <w:bookmarkStart w:id="4" w:name="_Hlk225709596"/>
      <w:bookmarkEnd w:id="3"/>
      <w:r w:rsidRPr="009A53ED">
        <w:rPr>
          <w:rFonts w:ascii="Times New Roman" w:hAnsi="Times New Roman" w:cs="Times New Roman"/>
          <w:b w:val="0"/>
          <w:bCs w:val="0"/>
          <w:color w:val="000000" w:themeColor="text1"/>
        </w:rPr>
        <w:t>Section II: Hypothetical Product Profile Reaction (Product X)</w:t>
      </w:r>
    </w:p>
    <w:p w14:paraId="0C2B2157" w14:textId="2EFF6D09" w:rsidR="005721E5" w:rsidRPr="009A53ED" w:rsidRDefault="00134B51" w:rsidP="00CC1AA9">
      <w:pPr>
        <w:pBdr>
          <w:top w:val="nil"/>
          <w:left w:val="nil"/>
          <w:bottom w:val="nil"/>
          <w:right w:val="nil"/>
          <w:between w:val="nil"/>
        </w:pBdr>
        <w:spacing w:after="0"/>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lang w:val="en-US"/>
        </w:rPr>
        <w:t>Please refer to the TPP (Product X) in the Discussion Stimuli</w:t>
      </w:r>
      <w:r w:rsidR="003912C6" w:rsidRPr="009A53ED">
        <w:rPr>
          <w:rFonts w:ascii="Times New Roman" w:eastAsia="Calibri" w:hAnsi="Times New Roman" w:cs="Times New Roman"/>
          <w:color w:val="000000" w:themeColor="text1"/>
          <w:lang w:val="en-US"/>
        </w:rPr>
        <w:t xml:space="preserve"> </w:t>
      </w:r>
      <w:r w:rsidR="00FB3903" w:rsidRPr="009A53ED">
        <w:rPr>
          <w:rFonts w:ascii="Times New Roman" w:eastAsia="Calibri" w:hAnsi="Times New Roman" w:cs="Times New Roman"/>
          <w:color w:val="000000" w:themeColor="text1"/>
          <w:lang w:val="en-US"/>
        </w:rPr>
        <w:t xml:space="preserve">(slide </w:t>
      </w:r>
      <w:r w:rsidR="00CC1AA9" w:rsidRPr="009A53ED">
        <w:rPr>
          <w:rFonts w:ascii="Times New Roman" w:eastAsia="Calibri" w:hAnsi="Times New Roman" w:cs="Times New Roman"/>
          <w:color w:val="000000" w:themeColor="text1"/>
          <w:lang w:val="en-US"/>
        </w:rPr>
        <w:t>7</w:t>
      </w:r>
      <w:r w:rsidR="00FB3903" w:rsidRPr="009A53ED">
        <w:rPr>
          <w:rFonts w:ascii="Times New Roman" w:eastAsia="Calibri" w:hAnsi="Times New Roman" w:cs="Times New Roman"/>
          <w:color w:val="000000" w:themeColor="text1"/>
          <w:lang w:val="en-US"/>
        </w:rPr>
        <w:t xml:space="preserve">) </w:t>
      </w:r>
      <w:r w:rsidR="003912C6" w:rsidRPr="009A53ED">
        <w:rPr>
          <w:rFonts w:ascii="Times New Roman" w:eastAsia="Calibri" w:hAnsi="Times New Roman" w:cs="Times New Roman"/>
          <w:color w:val="000000" w:themeColor="text1"/>
          <w:lang w:val="en-US"/>
        </w:rPr>
        <w:t xml:space="preserve">and </w:t>
      </w:r>
      <w:r w:rsidR="00FB3903" w:rsidRPr="009A53ED">
        <w:rPr>
          <w:rFonts w:ascii="Times New Roman" w:eastAsia="Calibri" w:hAnsi="Times New Roman" w:cs="Times New Roman"/>
          <w:color w:val="000000" w:themeColor="text1"/>
          <w:lang w:val="en-US"/>
        </w:rPr>
        <w:t>complete</w:t>
      </w:r>
      <w:r w:rsidR="003912C6" w:rsidRPr="009A53ED">
        <w:rPr>
          <w:rFonts w:ascii="Times New Roman" w:eastAsia="Calibri" w:hAnsi="Times New Roman" w:cs="Times New Roman"/>
          <w:color w:val="000000" w:themeColor="text1"/>
          <w:lang w:val="en-US"/>
        </w:rPr>
        <w:t xml:space="preserve"> the table on the rating of Product X. </w:t>
      </w:r>
    </w:p>
    <w:p w14:paraId="6854D948" w14:textId="462C3B00" w:rsidR="00CE6704" w:rsidRDefault="00134B51" w:rsidP="00CC1AA9">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lang w:val="en-US"/>
        </w:rPr>
        <w:t>What is your view on the</w:t>
      </w:r>
      <w:r w:rsidR="00CE6704" w:rsidRPr="009A53ED">
        <w:rPr>
          <w:rFonts w:ascii="Times New Roman" w:eastAsia="Calibri" w:hAnsi="Times New Roman" w:cs="Times New Roman"/>
          <w:color w:val="000000" w:themeColor="text1"/>
          <w:lang w:val="en-US"/>
        </w:rPr>
        <w:t xml:space="preserve"> efficacy,</w:t>
      </w:r>
      <w:r w:rsidRPr="009A53ED">
        <w:rPr>
          <w:rFonts w:ascii="Times New Roman" w:eastAsia="Calibri" w:hAnsi="Times New Roman" w:cs="Times New Roman"/>
          <w:color w:val="000000" w:themeColor="text1"/>
          <w:lang w:val="en-US"/>
        </w:rPr>
        <w:t xml:space="preserve"> outcomes</w:t>
      </w:r>
      <w:r w:rsidR="00CE6704" w:rsidRPr="009A53ED">
        <w:rPr>
          <w:rFonts w:ascii="Times New Roman" w:eastAsia="Calibri" w:hAnsi="Times New Roman" w:cs="Times New Roman"/>
          <w:color w:val="000000" w:themeColor="text1"/>
          <w:lang w:val="en-US"/>
        </w:rPr>
        <w:t>, safety</w:t>
      </w:r>
      <w:r w:rsidR="003912C6" w:rsidRPr="009A53ED">
        <w:rPr>
          <w:rFonts w:ascii="Times New Roman" w:eastAsia="Calibri" w:hAnsi="Times New Roman" w:cs="Times New Roman"/>
          <w:color w:val="000000" w:themeColor="text1"/>
          <w:lang w:val="en-US"/>
        </w:rPr>
        <w:t xml:space="preserve"> and administration</w:t>
      </w:r>
      <w:r w:rsidRPr="009A53ED">
        <w:rPr>
          <w:rFonts w:ascii="Times New Roman" w:eastAsia="Calibri" w:hAnsi="Times New Roman" w:cs="Times New Roman"/>
          <w:color w:val="000000" w:themeColor="text1"/>
          <w:lang w:val="en-US"/>
        </w:rPr>
        <w:t xml:space="preserve"> of Product X?</w:t>
      </w:r>
    </w:p>
    <w:p w14:paraId="52797842" w14:textId="799B368C" w:rsidR="00F64DAB" w:rsidRDefault="00F64DAB" w:rsidP="00F64DAB">
      <w:pPr>
        <w:pStyle w:val="p1"/>
      </w:pPr>
      <w:r>
        <w:rPr>
          <w:rStyle w:val="s1"/>
        </w:rPr>
        <w:t xml:space="preserve">From a clinical and payer perspective, Product X presents a </w:t>
      </w:r>
      <w:r>
        <w:rPr>
          <w:b/>
          <w:bCs/>
        </w:rPr>
        <w:t xml:space="preserve">strong efficacy and outcomes profile with a clear tradeoff in operational </w:t>
      </w:r>
      <w:proofErr w:type="spellStart"/>
      <w:proofErr w:type="gramStart"/>
      <w:r>
        <w:rPr>
          <w:b/>
          <w:bCs/>
        </w:rPr>
        <w:t>complexity</w:t>
      </w:r>
      <w:r>
        <w:rPr>
          <w:rStyle w:val="s1"/>
        </w:rPr>
        <w:t>.</w:t>
      </w:r>
      <w:r>
        <w:t>Starting</w:t>
      </w:r>
      <w:proofErr w:type="spellEnd"/>
      <w:proofErr w:type="gramEnd"/>
      <w:r>
        <w:t xml:space="preserve"> with efficacy and outcomes, the Phase 2 data is directionally compelling across all clinically relevant endpoints. There is consistent improvement in functional outcomes (</w:t>
      </w:r>
      <w:proofErr w:type="spellStart"/>
      <w:r>
        <w:t>mRS</w:t>
      </w:r>
      <w:proofErr w:type="spellEnd"/>
      <w:r>
        <w:t>), neurologic recovery (NIHSS), mortality, and infarct volume reduction, with all endpoints favoring treatment as shown in the Phase 2 summary (pages 3–4</w:t>
      </w:r>
      <w:proofErr w:type="gramStart"/>
      <w:r>
        <w:t>)</w:t>
      </w:r>
      <w:r>
        <w:rPr>
          <w:rStyle w:val="apple-converted-space"/>
        </w:rPr>
        <w:t> </w:t>
      </w:r>
      <w:r>
        <w:t>.</w:t>
      </w:r>
      <w:proofErr w:type="gramEnd"/>
      <w:r>
        <w:t xml:space="preserve"> The magnitude of benefit, particularly the 13–16% absolute improvement in </w:t>
      </w:r>
      <w:proofErr w:type="spellStart"/>
      <w:r>
        <w:t>mRS</w:t>
      </w:r>
      <w:proofErr w:type="spellEnd"/>
      <w:r>
        <w:t xml:space="preserve"> 0–2 and reductions in infarct growth, is clinically meaningful and aligns with what both clinicians and CMS would view as a substantive improvement in recovery. Importantly, these clinical improvements translate into tangible system-level outcomes, including shorter hospital stays and higher rates of discharge to home, which are explicitly demonstrated in the data (page 5).</w:t>
      </w:r>
    </w:p>
    <w:p w14:paraId="4A993768" w14:textId="77777777" w:rsidR="00F64DAB" w:rsidRDefault="00F64DAB" w:rsidP="00F64DAB">
      <w:pPr>
        <w:pStyle w:val="p3"/>
      </w:pPr>
      <w:r>
        <w:t>From a safety standpoint, the profile appears favorable. There is no signal of increased serious adverse events, and the only noted issue is transient headache. For a critically ill population in the ICU setting, this would generally be viewed as acceptable and unlikely to create a barrier to use.</w:t>
      </w:r>
    </w:p>
    <w:p w14:paraId="556B60FA" w14:textId="2150326C" w:rsidR="005721E5" w:rsidRDefault="00134B51" w:rsidP="00F64DAB">
      <w:pPr>
        <w:pStyle w:val="ListBullet"/>
        <w:rPr>
          <w:lang w:val="en-US"/>
        </w:rPr>
      </w:pPr>
      <w:r w:rsidRPr="009A53ED">
        <w:rPr>
          <w:lang w:val="en-US"/>
        </w:rPr>
        <w:t>What is your view on the 4</w:t>
      </w:r>
      <w:r w:rsidR="005E213F" w:rsidRPr="009A53ED">
        <w:rPr>
          <w:lang w:val="en-US"/>
        </w:rPr>
        <w:t>8</w:t>
      </w:r>
      <w:r w:rsidRPr="009A53ED">
        <w:rPr>
          <w:lang w:val="en-US"/>
        </w:rPr>
        <w:t>-hour infusion?</w:t>
      </w:r>
    </w:p>
    <w:p w14:paraId="3BF61ACB" w14:textId="6300F034" w:rsidR="00F64DAB" w:rsidRDefault="00F64DAB" w:rsidP="00F64DAB">
      <w:pPr>
        <w:pStyle w:val="p1"/>
      </w:pPr>
      <w:r>
        <w:t>The 48-hour infusion is not a departure in terms of ICU-level care or monitoring, as post-EVT patients are already managed in a high-acuity setting with continuous supervision. However, it does represent a meaningful shift in the nature of care. Current post-EVT management is largely supportive, without a required continuous pharmacologic intervention. Product X introduces a protocol-driven, 48-hour continuous infusion that requires active management, including repeated bag changes and coordination between nursing and pharmacy teams.</w:t>
      </w:r>
    </w:p>
    <w:p w14:paraId="6B6EB26A" w14:textId="77777777" w:rsidR="00F64DAB" w:rsidRDefault="00F64DAB" w:rsidP="00F64DAB">
      <w:pPr>
        <w:pStyle w:val="p1"/>
      </w:pPr>
      <w:r>
        <w:t>In that sense, it increases operational intensity within an already intensive setting, rather than changing the setting itself. At the same time, this structured infusion creates a clear procedural and cost signal, which is advantageous from a reimbursement perspective, particularly in supporting NTAP eligibility.</w:t>
      </w:r>
    </w:p>
    <w:p w14:paraId="13742EB7" w14:textId="653DB331" w:rsidR="005721E5" w:rsidRDefault="00134B51" w:rsidP="00F64DAB">
      <w:pPr>
        <w:pStyle w:val="ListBullet"/>
        <w:rPr>
          <w:lang w:val="en-US"/>
        </w:rPr>
      </w:pPr>
      <w:bookmarkStart w:id="5" w:name="_Hlk225709935"/>
      <w:r w:rsidRPr="009A53ED">
        <w:rPr>
          <w:lang w:val="en-US"/>
        </w:rPr>
        <w:t>Would you anticipate the IV to be given in the ICU unit?</w:t>
      </w:r>
      <w:r w:rsidR="00783D95" w:rsidRPr="009A53ED">
        <w:rPr>
          <w:lang w:val="en-US"/>
        </w:rPr>
        <w:t xml:space="preserve"> Note: In Phase 3 trials, patients will likely receive the infusion in the ICU suite post EVT</w:t>
      </w:r>
    </w:p>
    <w:p w14:paraId="22E1311A" w14:textId="2E6A8CED" w:rsidR="00F64DAB" w:rsidRDefault="00F64DAB" w:rsidP="00F64DAB">
      <w:pPr>
        <w:pStyle w:val="p1"/>
      </w:pPr>
      <w:r>
        <w:t>Yes, I would anticipate the IV to be administered in the ICU or neuro-ICU in the majority of cases, and this is consistent with both real-world practice and the proposed Phase 3 design.</w:t>
      </w:r>
    </w:p>
    <w:p w14:paraId="1C9DFF8F" w14:textId="4F19834F" w:rsidR="00F64DAB" w:rsidRPr="00F64DAB" w:rsidRDefault="00F64DAB" w:rsidP="00F64DAB">
      <w:pPr>
        <w:pStyle w:val="p1"/>
      </w:pPr>
      <w:r w:rsidRPr="00F64DAB">
        <w:t xml:space="preserve">In current stroke care, patients who undergo EVT are typically managed in a high-acuity setting immediately post-procedure. Even outside of any new therapy, standard practice involves </w:t>
      </w:r>
      <w:r w:rsidRPr="00F64DAB">
        <w:rPr>
          <w:rStyle w:val="s1"/>
        </w:rPr>
        <w:t>intensive neurologic and hemodynamic monitoring</w:t>
      </w:r>
      <w:r w:rsidRPr="00F64DAB">
        <w:t xml:space="preserve">, often in an ICU or ICU-equivalent stroke unit, particularly in the first 24 hours when the risk of complications such as hemorrhagic transformation or neurologic deterioration is highest. Clinical guidance and nursing protocols also emphasize that post-thrombectomy patients require </w:t>
      </w:r>
      <w:r w:rsidRPr="00F64DAB">
        <w:rPr>
          <w:rStyle w:val="s1"/>
        </w:rPr>
        <w:t>frequent neurologic assessments and close monitoring that are most reliably delivered in an ICU environment</w:t>
      </w:r>
      <w:r w:rsidRPr="00F64DAB">
        <w:rPr>
          <w:rStyle w:val="apple-converted-space"/>
        </w:rPr>
        <w:t>.</w:t>
      </w:r>
    </w:p>
    <w:p w14:paraId="69C42CB6" w14:textId="49A9BF6B" w:rsidR="00F64DAB" w:rsidRPr="00F64DAB" w:rsidRDefault="00F64DAB" w:rsidP="00F64DAB">
      <w:pPr>
        <w:pStyle w:val="p1"/>
      </w:pPr>
      <w:r w:rsidRPr="00F64DAB">
        <w:t>Against that backdrop, Product X does not fundamentally change the initial site of care, but it does reinforce it. The 48-hour continuous infusion introduces a structured, protocol-driven therapy layered onto an already intensive monitoring environment. As outlined in the materials, the infusion requires continuous administration with bag changes every 6 to 8 hours over a 48-hour period. While ICU-level monitoring is already standard early post-EVT, the addition of a prolonged infusion increases the need for coordinated nursing and pharmacy management, which further supports ICU as the most appropriate and practical setting.</w:t>
      </w:r>
    </w:p>
    <w:p w14:paraId="22B302BA" w14:textId="1021542D" w:rsidR="00F64DAB" w:rsidRPr="00F64DAB" w:rsidRDefault="00F64DAB" w:rsidP="00F64DAB">
      <w:pPr>
        <w:pStyle w:val="p1"/>
      </w:pPr>
      <w:r w:rsidRPr="00F64DAB">
        <w:t xml:space="preserve">Importantly, this aligns with how the therapy is positioned in development. The Phase 3 design assumes administration in the ICU post-EVT, which reflects both clinical feasibility and operational reality. In practice, even if some lower-acuity stroke patients can transition out of the ICU after initial stabilization, a therapy that requires continuous infusion over 48 hours will likely </w:t>
      </w:r>
      <w:r w:rsidRPr="00F64DAB">
        <w:rPr>
          <w:rStyle w:val="s1"/>
        </w:rPr>
        <w:t>anchor patients in the ICU longer than they otherwise would be</w:t>
      </w:r>
      <w:r w:rsidRPr="00F64DAB">
        <w:t>, at least during the infusion window.</w:t>
      </w:r>
    </w:p>
    <w:p w14:paraId="487C6386" w14:textId="77777777" w:rsidR="00F64DAB" w:rsidRDefault="00F64DAB" w:rsidP="00F64DAB">
      <w:pPr>
        <w:pStyle w:val="p1"/>
      </w:pPr>
      <w:r w:rsidRPr="00F64DAB">
        <w:t>From a reimbursement and market access perspective, this is also directionally favorable</w:t>
      </w:r>
      <w:r>
        <w:t xml:space="preserve">. The ICU-based administration and prolonged infusion create a </w:t>
      </w:r>
      <w:r>
        <w:rPr>
          <w:rStyle w:val="s1"/>
          <w:b/>
          <w:bCs/>
        </w:rPr>
        <w:t>clear, measurable resource utilization signal</w:t>
      </w:r>
      <w:r>
        <w:t>, which helps differentiate the therapy from standard supportive care and supports arguments for additional payment mechanisms such as NTAP.</w:t>
      </w:r>
    </w:p>
    <w:p w14:paraId="76C6FE7E" w14:textId="77777777" w:rsidR="00F64DAB" w:rsidRDefault="00F64DAB" w:rsidP="00F64DAB">
      <w:pPr>
        <w:pStyle w:val="p1"/>
      </w:pPr>
      <w:r>
        <w:t>In summary, ICU administration is not only likely, it is the most realistic and aligned approach with both current care pathways and the operational requirements of the therapy.</w:t>
      </w:r>
    </w:p>
    <w:p w14:paraId="7E6824D7" w14:textId="77777777" w:rsidR="00F64DAB" w:rsidRPr="009A53ED" w:rsidRDefault="00F64DAB" w:rsidP="00F64DAB">
      <w:pPr>
        <w:pStyle w:val="ListBullet"/>
        <w:numPr>
          <w:ilvl w:val="0"/>
          <w:numId w:val="0"/>
        </w:numPr>
        <w:ind w:left="141"/>
        <w:rPr>
          <w:lang w:val="en-US"/>
        </w:rPr>
      </w:pPr>
    </w:p>
    <w:p w14:paraId="75353011" w14:textId="57BD00BF" w:rsidR="00FB3903" w:rsidRPr="0070161A" w:rsidRDefault="00FB3903" w:rsidP="00F64DAB">
      <w:pPr>
        <w:pStyle w:val="ListBullet"/>
        <w:rPr>
          <w:rFonts w:ascii="Times New Roman" w:eastAsia="Calibri" w:hAnsi="Times New Roman" w:cs="Times New Roman"/>
          <w:b/>
          <w:bCs/>
          <w:i/>
          <w:iCs/>
          <w:color w:val="000000" w:themeColor="text1"/>
          <w:lang w:val="en-US"/>
        </w:rPr>
      </w:pPr>
      <w:bookmarkStart w:id="6" w:name="_Hlk225710054"/>
      <w:bookmarkEnd w:id="5"/>
      <w:r w:rsidRPr="0070161A">
        <w:rPr>
          <w:rFonts w:ascii="Times New Roman" w:eastAsia="Calibri" w:hAnsi="Times New Roman" w:cs="Times New Roman"/>
          <w:b/>
          <w:bCs/>
          <w:i/>
          <w:iCs/>
          <w:color w:val="000000" w:themeColor="text1"/>
          <w:lang w:val="en-US"/>
        </w:rPr>
        <w:t>How d</w:t>
      </w:r>
      <w:r w:rsidR="00134B51" w:rsidRPr="0070161A">
        <w:rPr>
          <w:rFonts w:ascii="Times New Roman" w:eastAsia="Calibri" w:hAnsi="Times New Roman" w:cs="Times New Roman"/>
          <w:b/>
          <w:bCs/>
          <w:i/>
          <w:iCs/>
          <w:color w:val="000000" w:themeColor="text1"/>
          <w:lang w:val="en-US"/>
        </w:rPr>
        <w:t xml:space="preserve">o you anticipate Product X </w:t>
      </w:r>
      <w:r w:rsidRPr="0070161A">
        <w:rPr>
          <w:rFonts w:ascii="Times New Roman" w:eastAsia="Calibri" w:hAnsi="Times New Roman" w:cs="Times New Roman"/>
          <w:b/>
          <w:bCs/>
          <w:i/>
          <w:iCs/>
          <w:color w:val="000000" w:themeColor="text1"/>
          <w:lang w:val="en-US"/>
        </w:rPr>
        <w:t xml:space="preserve">reducing </w:t>
      </w:r>
      <w:r w:rsidR="00134B51" w:rsidRPr="0070161A">
        <w:rPr>
          <w:rFonts w:ascii="Times New Roman" w:eastAsia="Calibri" w:hAnsi="Times New Roman" w:cs="Times New Roman"/>
          <w:b/>
          <w:bCs/>
          <w:i/>
          <w:iCs/>
          <w:color w:val="000000" w:themeColor="text1"/>
          <w:lang w:val="en-US"/>
        </w:rPr>
        <w:t>the number of hospital days and</w:t>
      </w:r>
      <w:r w:rsidRPr="0070161A">
        <w:rPr>
          <w:rFonts w:ascii="Times New Roman" w:eastAsia="Calibri" w:hAnsi="Times New Roman" w:cs="Times New Roman"/>
          <w:b/>
          <w:bCs/>
          <w:i/>
          <w:iCs/>
          <w:color w:val="000000" w:themeColor="text1"/>
          <w:lang w:val="en-US"/>
        </w:rPr>
        <w:t>/or</w:t>
      </w:r>
      <w:r w:rsidR="00134B51" w:rsidRPr="0070161A">
        <w:rPr>
          <w:rFonts w:ascii="Times New Roman" w:eastAsia="Calibri" w:hAnsi="Times New Roman" w:cs="Times New Roman"/>
          <w:b/>
          <w:bCs/>
          <w:i/>
          <w:iCs/>
          <w:color w:val="000000" w:themeColor="text1"/>
          <w:lang w:val="en-US"/>
        </w:rPr>
        <w:t xml:space="preserve"> </w:t>
      </w:r>
      <w:r w:rsidR="00CC1AA9" w:rsidRPr="0070161A">
        <w:rPr>
          <w:rFonts w:ascii="Times New Roman" w:eastAsia="Calibri" w:hAnsi="Times New Roman" w:cs="Times New Roman"/>
          <w:b/>
          <w:bCs/>
          <w:i/>
          <w:iCs/>
          <w:color w:val="000000" w:themeColor="text1"/>
          <w:lang w:val="en-US"/>
        </w:rPr>
        <w:t>ICU Day</w:t>
      </w:r>
      <w:r w:rsidR="00134B51" w:rsidRPr="0070161A">
        <w:rPr>
          <w:rFonts w:ascii="Times New Roman" w:eastAsia="Calibri" w:hAnsi="Times New Roman" w:cs="Times New Roman"/>
          <w:b/>
          <w:bCs/>
          <w:i/>
          <w:iCs/>
          <w:color w:val="000000" w:themeColor="text1"/>
          <w:lang w:val="en-US"/>
        </w:rPr>
        <w:t>?</w:t>
      </w:r>
    </w:p>
    <w:p w14:paraId="20A1272E" w14:textId="46489479" w:rsidR="00914D06" w:rsidRPr="0070161A" w:rsidRDefault="00914D06" w:rsidP="00914D06">
      <w:pPr>
        <w:pStyle w:val="p1"/>
      </w:pPr>
      <w:r w:rsidRPr="0070161A">
        <w:t xml:space="preserve">Product X would reduce hospital and ICU days through a </w:t>
      </w:r>
      <w:r w:rsidRPr="0070161A">
        <w:rPr>
          <w:rStyle w:val="s1"/>
        </w:rPr>
        <w:t>direct effect on the underlying drivers of post-EVT morbidity</w:t>
      </w:r>
      <w:r w:rsidRPr="0070161A">
        <w:t>, rather than through operational efficiencies alone.</w:t>
      </w:r>
    </w:p>
    <w:p w14:paraId="0C70AA77" w14:textId="1499B6BD" w:rsidR="00914D06" w:rsidRPr="0070161A" w:rsidRDefault="00914D06" w:rsidP="00914D06">
      <w:pPr>
        <w:pStyle w:val="p1"/>
      </w:pPr>
      <w:r w:rsidRPr="0070161A">
        <w:t xml:space="preserve">The key mechanism is </w:t>
      </w:r>
      <w:r w:rsidRPr="0070161A">
        <w:rPr>
          <w:rStyle w:val="s1"/>
        </w:rPr>
        <w:t>limiting infarct progression and improving early neurologic recovery</w:t>
      </w:r>
      <w:r w:rsidRPr="0070161A">
        <w:t xml:space="preserve">. Even after successful EVT, infarct growth can continue due to reperfusion injury and ongoing cellular damage, and this is strongly associated with worse functional outcomes and longer ICU stays. Product X’s Phase 2 data </w:t>
      </w:r>
      <w:proofErr w:type="gramStart"/>
      <w:r w:rsidRPr="0070161A">
        <w:t>demonstrates</w:t>
      </w:r>
      <w:proofErr w:type="gramEnd"/>
      <w:r w:rsidRPr="0070161A">
        <w:t xml:space="preserve"> approximately a 50% reduction in infarct volume growth within the first 48 hours, which is a critical window where downstream recovery trajectories are largely </w:t>
      </w:r>
      <w:proofErr w:type="gramStart"/>
      <w:r w:rsidRPr="0070161A">
        <w:t>determined</w:t>
      </w:r>
      <w:r w:rsidRPr="0070161A">
        <w:rPr>
          <w:rStyle w:val="apple-converted-space"/>
        </w:rPr>
        <w:t xml:space="preserve">  </w:t>
      </w:r>
      <w:r w:rsidRPr="0070161A">
        <w:t>(</w:t>
      </w:r>
      <w:proofErr w:type="gramEnd"/>
      <w:r w:rsidRPr="0070161A">
        <w:t>page 3). By stabilizing the penumbra earlier, patients are less likely to deteriorate or develop complications that prolong ICU and hospital utilization.</w:t>
      </w:r>
    </w:p>
    <w:p w14:paraId="45587413" w14:textId="68041D04" w:rsidR="00914D06" w:rsidRPr="0070161A" w:rsidRDefault="00914D06" w:rsidP="00914D06">
      <w:pPr>
        <w:pStyle w:val="p1"/>
      </w:pPr>
      <w:r w:rsidRPr="0070161A">
        <w:t xml:space="preserve">This biologic effect translates into </w:t>
      </w:r>
      <w:r w:rsidRPr="0070161A">
        <w:rPr>
          <w:rStyle w:val="s1"/>
        </w:rPr>
        <w:t>faster clinical stabilization</w:t>
      </w:r>
      <w:r w:rsidRPr="0070161A">
        <w:t xml:space="preserve">. In stroke care, early neurologic improvement, often measured within the first 24–48 hours, is highly predictive of long-term outcomes and resource use. Patients who stabilize quickly require fewer ICU-level interventions, transition earlier to step-down units, and are discharged sooner. This relationship is well established, with better early neurologic status correlating with shorter ICU length of stay and improved functional </w:t>
      </w:r>
      <w:proofErr w:type="gramStart"/>
      <w:r w:rsidRPr="0070161A">
        <w:t>outcomes</w:t>
      </w:r>
      <w:r w:rsidRPr="0070161A">
        <w:rPr>
          <w:rStyle w:val="apple-converted-space"/>
        </w:rPr>
        <w:t xml:space="preserve">  </w:t>
      </w:r>
      <w:r w:rsidRPr="0070161A">
        <w:t>.</w:t>
      </w:r>
      <w:proofErr w:type="gramEnd"/>
    </w:p>
    <w:p w14:paraId="0DA58820" w14:textId="00DA10AD" w:rsidR="00914D06" w:rsidRPr="0070161A" w:rsidRDefault="00914D06" w:rsidP="00914D06">
      <w:pPr>
        <w:pStyle w:val="p1"/>
      </w:pPr>
      <w:r w:rsidRPr="0070161A">
        <w:t xml:space="preserve">The Phase 2 data </w:t>
      </w:r>
      <w:proofErr w:type="gramStart"/>
      <w:r w:rsidRPr="0070161A">
        <w:t>provides</w:t>
      </w:r>
      <w:proofErr w:type="gramEnd"/>
      <w:r w:rsidRPr="0070161A">
        <w:t xml:space="preserve"> direct evidence of this impact. Patients treated with Product X had a reduction in total hospital length of stay from approximately 10.8 days to 6.0 days, along with higher rates of discharge to home rather than post-acute </w:t>
      </w:r>
      <w:proofErr w:type="gramStart"/>
      <w:r w:rsidRPr="0070161A">
        <w:t>facilities</w:t>
      </w:r>
      <w:r w:rsidRPr="0070161A">
        <w:rPr>
          <w:rStyle w:val="apple-converted-space"/>
        </w:rPr>
        <w:t xml:space="preserve">  </w:t>
      </w:r>
      <w:r w:rsidRPr="0070161A">
        <w:t>(</w:t>
      </w:r>
      <w:proofErr w:type="gramEnd"/>
      <w:r w:rsidRPr="0070161A">
        <w:t>page 5). This suggests that the therapy is not simply shifting care settings, but meaningfully accelerating recovery.</w:t>
      </w:r>
    </w:p>
    <w:p w14:paraId="2263EAB3" w14:textId="77777777" w:rsidR="00914D06" w:rsidRPr="0070161A" w:rsidRDefault="00914D06" w:rsidP="00914D06">
      <w:pPr>
        <w:pStyle w:val="p1"/>
      </w:pPr>
      <w:r w:rsidRPr="0070161A">
        <w:t xml:space="preserve">From an ICU perspective, while specific </w:t>
      </w:r>
      <w:proofErr w:type="gramStart"/>
      <w:r w:rsidRPr="0070161A">
        <w:t>ICU day</w:t>
      </w:r>
      <w:proofErr w:type="gramEnd"/>
      <w:r w:rsidRPr="0070161A">
        <w:t xml:space="preserve"> reductions are not explicitly quantified in the data, the mechanism is clear. ICU time is largely driven by:</w:t>
      </w:r>
    </w:p>
    <w:p w14:paraId="6E2F9BE8" w14:textId="77777777" w:rsidR="00914D06" w:rsidRPr="0070161A" w:rsidRDefault="00914D06" w:rsidP="00914D06">
      <w:pPr>
        <w:pStyle w:val="p1"/>
        <w:numPr>
          <w:ilvl w:val="0"/>
          <w:numId w:val="20"/>
        </w:numPr>
      </w:pPr>
      <w:r w:rsidRPr="0070161A">
        <w:t>Neurologic instability</w:t>
      </w:r>
    </w:p>
    <w:p w14:paraId="337D0D0A" w14:textId="77777777" w:rsidR="00914D06" w:rsidRPr="0070161A" w:rsidRDefault="00914D06" w:rsidP="00914D06">
      <w:pPr>
        <w:pStyle w:val="p1"/>
        <w:numPr>
          <w:ilvl w:val="0"/>
          <w:numId w:val="20"/>
        </w:numPr>
      </w:pPr>
      <w:r w:rsidRPr="0070161A">
        <w:t>Risk of complications (e.g., edema, hemorrhagic transformation)</w:t>
      </w:r>
    </w:p>
    <w:p w14:paraId="044AB283" w14:textId="7B424B64" w:rsidR="00914D06" w:rsidRPr="0070161A" w:rsidRDefault="00914D06" w:rsidP="00914D06">
      <w:pPr>
        <w:pStyle w:val="p1"/>
        <w:numPr>
          <w:ilvl w:val="0"/>
          <w:numId w:val="20"/>
        </w:numPr>
      </w:pPr>
      <w:r w:rsidRPr="0070161A">
        <w:t>Need for intensive monitoring</w:t>
      </w:r>
    </w:p>
    <w:p w14:paraId="40AEF57A" w14:textId="77777777" w:rsidR="00914D06" w:rsidRPr="0070161A" w:rsidRDefault="00914D06" w:rsidP="00914D06">
      <w:pPr>
        <w:pStyle w:val="p1"/>
      </w:pPr>
      <w:r w:rsidRPr="0070161A">
        <w:t>By improving neurologic recovery and reducing infarct burden, Product X would be expected to:</w:t>
      </w:r>
    </w:p>
    <w:p w14:paraId="130C1168" w14:textId="77777777" w:rsidR="00914D06" w:rsidRPr="0070161A" w:rsidRDefault="00914D06" w:rsidP="00914D06">
      <w:pPr>
        <w:pStyle w:val="p1"/>
        <w:numPr>
          <w:ilvl w:val="0"/>
          <w:numId w:val="21"/>
        </w:numPr>
      </w:pPr>
      <w:r w:rsidRPr="0070161A">
        <w:t>Shorten the duration of intensive monitoring</w:t>
      </w:r>
    </w:p>
    <w:p w14:paraId="51046C37" w14:textId="77777777" w:rsidR="00914D06" w:rsidRPr="0070161A" w:rsidRDefault="00914D06" w:rsidP="00914D06">
      <w:pPr>
        <w:pStyle w:val="p1"/>
        <w:numPr>
          <w:ilvl w:val="0"/>
          <w:numId w:val="21"/>
        </w:numPr>
      </w:pPr>
      <w:r w:rsidRPr="0070161A">
        <w:t>Reduce complication-driven ICU extensions</w:t>
      </w:r>
    </w:p>
    <w:p w14:paraId="0A06B359" w14:textId="24B39AF8" w:rsidR="00914D06" w:rsidRPr="0070161A" w:rsidRDefault="00914D06" w:rsidP="00914D06">
      <w:pPr>
        <w:pStyle w:val="p1"/>
        <w:numPr>
          <w:ilvl w:val="0"/>
          <w:numId w:val="21"/>
        </w:numPr>
      </w:pPr>
      <w:r w:rsidRPr="0070161A">
        <w:t>Enable earlier transfer to lower-acuity care</w:t>
      </w:r>
    </w:p>
    <w:p w14:paraId="319CAD23" w14:textId="194CED3E" w:rsidR="00914D06" w:rsidRPr="0070161A" w:rsidRDefault="00914D06" w:rsidP="00914D06">
      <w:pPr>
        <w:pStyle w:val="p1"/>
      </w:pPr>
      <w:r w:rsidRPr="0070161A">
        <w:t xml:space="preserve">In practical terms, this likely translates to a </w:t>
      </w:r>
      <w:r w:rsidRPr="0070161A">
        <w:rPr>
          <w:rStyle w:val="s1"/>
        </w:rPr>
        <w:t>1–</w:t>
      </w:r>
      <w:proofErr w:type="gramStart"/>
      <w:r w:rsidRPr="0070161A">
        <w:rPr>
          <w:rStyle w:val="s1"/>
        </w:rPr>
        <w:t>2 day</w:t>
      </w:r>
      <w:proofErr w:type="gramEnd"/>
      <w:r w:rsidRPr="0070161A">
        <w:rPr>
          <w:rStyle w:val="s1"/>
        </w:rPr>
        <w:t xml:space="preserve"> reduction in ICU stay</w:t>
      </w:r>
      <w:r w:rsidRPr="0070161A">
        <w:t>, embedded within the broader 3–</w:t>
      </w:r>
      <w:proofErr w:type="gramStart"/>
      <w:r w:rsidRPr="0070161A">
        <w:t>5 day</w:t>
      </w:r>
      <w:proofErr w:type="gramEnd"/>
      <w:r w:rsidRPr="0070161A">
        <w:t xml:space="preserve"> reduction in total hospitalization.</w:t>
      </w:r>
    </w:p>
    <w:p w14:paraId="62AAE2A4" w14:textId="77777777" w:rsidR="00914D06" w:rsidRPr="0070161A" w:rsidRDefault="00914D06" w:rsidP="00914D06">
      <w:pPr>
        <w:pStyle w:val="p1"/>
      </w:pPr>
      <w:r w:rsidRPr="0070161A">
        <w:t xml:space="preserve">In summary, Product X reduces hospital and ICU days by </w:t>
      </w:r>
      <w:r w:rsidRPr="0070161A">
        <w:rPr>
          <w:rStyle w:val="s1"/>
        </w:rPr>
        <w:t>changing the clinical trajectory of recovery</w:t>
      </w:r>
      <w:r w:rsidRPr="0070161A">
        <w:t>, specifically by limiting infarct progression, accelerating neurologic stabilization, and reducing complications. This is fundamentally different from operational efficiencies, it reflects a true shift in patient recovery dynamics, which is why the length-of-stay reduction observed in the data is both clinically credible and economically meaningful.</w:t>
      </w:r>
    </w:p>
    <w:p w14:paraId="2A914D66" w14:textId="77777777" w:rsidR="00914D06" w:rsidRPr="0070161A" w:rsidRDefault="00914D06" w:rsidP="00914D06">
      <w:pPr>
        <w:pStyle w:val="ListBullet"/>
        <w:numPr>
          <w:ilvl w:val="0"/>
          <w:numId w:val="0"/>
        </w:numPr>
        <w:ind w:left="141"/>
        <w:rPr>
          <w:rFonts w:ascii="Times New Roman" w:eastAsia="Calibri" w:hAnsi="Times New Roman" w:cs="Times New Roman"/>
          <w:color w:val="000000" w:themeColor="text1"/>
          <w:lang w:val="en-US"/>
        </w:rPr>
      </w:pPr>
    </w:p>
    <w:p w14:paraId="694E4F0C" w14:textId="03D91E0A" w:rsidR="003912C6" w:rsidRPr="0070161A" w:rsidRDefault="00134B51" w:rsidP="00F64DAB">
      <w:pPr>
        <w:pStyle w:val="ListBullet"/>
        <w:rPr>
          <w:rFonts w:ascii="Times New Roman" w:eastAsia="Calibri" w:hAnsi="Times New Roman" w:cs="Times New Roman"/>
          <w:b/>
          <w:bCs/>
          <w:i/>
          <w:iCs/>
          <w:color w:val="000000" w:themeColor="text1"/>
          <w:lang w:val="en-US"/>
        </w:rPr>
      </w:pPr>
      <w:bookmarkStart w:id="7" w:name="_Hlk225710162"/>
      <w:bookmarkEnd w:id="6"/>
      <w:r w:rsidRPr="0070161A">
        <w:rPr>
          <w:rFonts w:ascii="Times New Roman" w:eastAsia="Calibri" w:hAnsi="Times New Roman" w:cs="Times New Roman"/>
          <w:b/>
          <w:bCs/>
          <w:i/>
          <w:iCs/>
          <w:color w:val="000000" w:themeColor="text1"/>
          <w:lang w:val="en-US"/>
        </w:rPr>
        <w:t>How would you anticipate Product X changing the number of staffing requirements?</w:t>
      </w:r>
    </w:p>
    <w:p w14:paraId="2C616894" w14:textId="064FF591" w:rsidR="00914D06" w:rsidRPr="00914D06" w:rsidRDefault="00914D06" w:rsidP="00914D06">
      <w:pPr>
        <w:pStyle w:val="p1"/>
      </w:pPr>
      <w:r w:rsidRPr="00914D06">
        <w:t xml:space="preserve">Product X would change staffing requirements in a </w:t>
      </w:r>
      <w:r w:rsidRPr="00914D06">
        <w:rPr>
          <w:rStyle w:val="s1"/>
        </w:rPr>
        <w:t>targeted and time-dependent way</w:t>
      </w:r>
      <w:r w:rsidRPr="00914D06">
        <w:t>, increasing intensity during the acute treatment window while reducing overall staffing burden across the full episode of care.</w:t>
      </w:r>
      <w:r w:rsidRPr="00914D06">
        <w:t xml:space="preserve"> </w:t>
      </w:r>
      <w:r w:rsidRPr="00914D06">
        <w:t xml:space="preserve">In the immediate term, during the 48-hour infusion period, staffing requirements would increase modestly. ICU and neuro-ICU stroke patients already require high-touch care, with typical nurse-to-patient ratios of approximately </w:t>
      </w:r>
      <w:r w:rsidRPr="00914D06">
        <w:rPr>
          <w:rStyle w:val="s1"/>
        </w:rPr>
        <w:t>1:1 to 1:2 in neurocritical care settings</w:t>
      </w:r>
      <w:r w:rsidRPr="00914D06">
        <w:t xml:space="preserve">. Product X would not change that baseline ratio, but it would </w:t>
      </w:r>
      <w:r w:rsidRPr="00914D06">
        <w:rPr>
          <w:rStyle w:val="s1"/>
        </w:rPr>
        <w:t>increase the workload within that ratio</w:t>
      </w:r>
      <w:r w:rsidRPr="00914D06">
        <w:t>. Specifically, nursing staff would need to manage a continuous infusion, perform bag changes every 6 to 8 hours, and coordinate closely with pharmacy for preparation and supply. This adds task intensity rather than requiring additional headcount, but in some cases may push patients toward the higher-acuity end of staffing (e.g., closer to 1:1 assignment).</w:t>
      </w:r>
    </w:p>
    <w:p w14:paraId="2FF5BD66" w14:textId="77777777" w:rsidR="00914D06" w:rsidRPr="00914D06" w:rsidRDefault="00914D06" w:rsidP="00914D06">
      <w:pPr>
        <w:pStyle w:val="p1"/>
      </w:pPr>
      <w:r w:rsidRPr="00914D06">
        <w:t>From a pharmacy perspective, there is also an incremental burden due to:</w:t>
      </w:r>
    </w:p>
    <w:p w14:paraId="016FBE69" w14:textId="77777777" w:rsidR="00914D06" w:rsidRPr="00914D06" w:rsidRDefault="00914D06" w:rsidP="00914D06">
      <w:pPr>
        <w:pStyle w:val="p1"/>
        <w:numPr>
          <w:ilvl w:val="0"/>
          <w:numId w:val="22"/>
        </w:numPr>
      </w:pPr>
      <w:r w:rsidRPr="00914D06">
        <w:t>Repeated preparation and dispensing of infusion bags</w:t>
      </w:r>
    </w:p>
    <w:p w14:paraId="36E87925" w14:textId="77777777" w:rsidR="00914D06" w:rsidRPr="00914D06" w:rsidRDefault="00914D06" w:rsidP="00914D06">
      <w:pPr>
        <w:pStyle w:val="p1"/>
        <w:numPr>
          <w:ilvl w:val="0"/>
          <w:numId w:val="22"/>
        </w:numPr>
      </w:pPr>
      <w:r w:rsidRPr="00914D06">
        <w:t>Cold chain management (2–8°C storage)</w:t>
      </w:r>
    </w:p>
    <w:p w14:paraId="2CBDC60A" w14:textId="5C88D923" w:rsidR="00914D06" w:rsidRPr="00914D06" w:rsidRDefault="00914D06" w:rsidP="00914D06">
      <w:pPr>
        <w:pStyle w:val="p1"/>
        <w:numPr>
          <w:ilvl w:val="0"/>
          <w:numId w:val="22"/>
        </w:numPr>
      </w:pPr>
      <w:r w:rsidRPr="00914D06">
        <w:t>Coordination with ICU timing and dosing</w:t>
      </w:r>
    </w:p>
    <w:p w14:paraId="066C2220" w14:textId="08FEFA4C" w:rsidR="00914D06" w:rsidRPr="00914D06" w:rsidRDefault="00914D06" w:rsidP="00914D06">
      <w:pPr>
        <w:pStyle w:val="p1"/>
      </w:pPr>
      <w:r w:rsidRPr="00914D06">
        <w:t xml:space="preserve">However, this increased intensity is </w:t>
      </w:r>
      <w:r w:rsidRPr="00914D06">
        <w:rPr>
          <w:rStyle w:val="s1"/>
        </w:rPr>
        <w:t>front-loaded and temporary</w:t>
      </w:r>
      <w:r w:rsidRPr="00914D06">
        <w:t>.</w:t>
      </w:r>
    </w:p>
    <w:p w14:paraId="46A2B37D" w14:textId="584C56F6" w:rsidR="00914D06" w:rsidRPr="00914D06" w:rsidRDefault="00914D06" w:rsidP="00914D06">
      <w:pPr>
        <w:pStyle w:val="p1"/>
      </w:pPr>
      <w:r w:rsidRPr="00914D06">
        <w:t xml:space="preserve">Over the full hospitalization, Product X is likely to </w:t>
      </w:r>
      <w:r w:rsidRPr="00914D06">
        <w:rPr>
          <w:rStyle w:val="s1"/>
        </w:rPr>
        <w:t>reduce total staffing requirements</w:t>
      </w:r>
      <w:r w:rsidRPr="00914D06">
        <w:t xml:space="preserve">. The Phase 2 data </w:t>
      </w:r>
      <w:proofErr w:type="gramStart"/>
      <w:r w:rsidRPr="00914D06">
        <w:t>shows</w:t>
      </w:r>
      <w:proofErr w:type="gramEnd"/>
      <w:r w:rsidRPr="00914D06">
        <w:t xml:space="preserve"> a reduction in hospital length of stay from approximately 10.8 days to 6.0 days and improved discharge to home. Because staffing demand in stroke care is strongly driven by length of stay and patient acuity, fewer inpatient days directly translate into fewer total nursing hours, fewer ICU bed-days, and less ancillary staff utilization.</w:t>
      </w:r>
    </w:p>
    <w:p w14:paraId="6ACCA098" w14:textId="77777777" w:rsidR="00914D06" w:rsidRPr="00914D06" w:rsidRDefault="00914D06" w:rsidP="00914D06">
      <w:pPr>
        <w:pStyle w:val="p1"/>
      </w:pPr>
      <w:r w:rsidRPr="00914D06">
        <w:t>Additionally, earlier neurologic stabilization reduces:</w:t>
      </w:r>
    </w:p>
    <w:p w14:paraId="4739CD6C" w14:textId="77777777" w:rsidR="00914D06" w:rsidRPr="00914D06" w:rsidRDefault="00914D06" w:rsidP="00914D06">
      <w:pPr>
        <w:pStyle w:val="p1"/>
        <w:numPr>
          <w:ilvl w:val="0"/>
          <w:numId w:val="23"/>
        </w:numPr>
      </w:pPr>
      <w:r w:rsidRPr="00914D06">
        <w:t>Frequency of intensive neurologic checks</w:t>
      </w:r>
    </w:p>
    <w:p w14:paraId="0F8A78C9" w14:textId="77777777" w:rsidR="00914D06" w:rsidRPr="00914D06" w:rsidRDefault="00914D06" w:rsidP="00914D06">
      <w:pPr>
        <w:pStyle w:val="p1"/>
        <w:numPr>
          <w:ilvl w:val="0"/>
          <w:numId w:val="23"/>
        </w:numPr>
      </w:pPr>
      <w:r w:rsidRPr="00914D06">
        <w:t>Need for escalation of care</w:t>
      </w:r>
    </w:p>
    <w:p w14:paraId="4CAE6A59" w14:textId="2E3679BE" w:rsidR="00914D06" w:rsidRPr="00914D06" w:rsidRDefault="00914D06" w:rsidP="00914D06">
      <w:pPr>
        <w:pStyle w:val="p1"/>
        <w:numPr>
          <w:ilvl w:val="0"/>
          <w:numId w:val="23"/>
        </w:numPr>
      </w:pPr>
      <w:r w:rsidRPr="00914D06">
        <w:t>Duration of ICU-level monitoring</w:t>
      </w:r>
    </w:p>
    <w:p w14:paraId="68B5D374" w14:textId="7AE93B1F" w:rsidR="00914D06" w:rsidRPr="00914D06" w:rsidRDefault="00914D06" w:rsidP="00914D06">
      <w:pPr>
        <w:pStyle w:val="p1"/>
      </w:pPr>
      <w:r w:rsidRPr="00914D06">
        <w:t>This allows patients to transition more quickly to lower-acuity settings, where staffing ratios are less intensive (e.g., 1:3–1:4 vs ICU-level 1:1–1:2).</w:t>
      </w:r>
    </w:p>
    <w:p w14:paraId="580F1731" w14:textId="608E10F1" w:rsidR="00914D06" w:rsidRPr="00914D06" w:rsidRDefault="00914D06" w:rsidP="00914D06">
      <w:pPr>
        <w:pStyle w:val="p1"/>
      </w:pPr>
      <w:r w:rsidRPr="00914D06">
        <w:t xml:space="preserve">In practical terms, Product X would </w:t>
      </w:r>
      <w:r w:rsidRPr="00914D06">
        <w:rPr>
          <w:rStyle w:val="s1"/>
        </w:rPr>
        <w:t>shift staffing demand earlier in the care pathway</w:t>
      </w:r>
      <w:r w:rsidRPr="00914D06">
        <w:t xml:space="preserve">, increasing workload during the first 48 hours, but reducing overall staffing needs across the episode. The net effect is likely </w:t>
      </w:r>
      <w:r w:rsidRPr="00914D06">
        <w:rPr>
          <w:rStyle w:val="s1"/>
        </w:rPr>
        <w:t>neutral to modestly favorable from a total staffing perspective</w:t>
      </w:r>
      <w:r w:rsidRPr="00914D06">
        <w:t>, with the primary benefit coming from shorter length of stay and reduced downstream care intensity rather than reductions in ICU staffing at the point of infusion.</w:t>
      </w:r>
    </w:p>
    <w:bookmarkEnd w:id="4"/>
    <w:bookmarkEnd w:id="7"/>
    <w:p w14:paraId="0D3C9DEF" w14:textId="77777777" w:rsidR="003912C6" w:rsidRPr="00914D06" w:rsidRDefault="003912C6" w:rsidP="003912C6">
      <w:pPr>
        <w:pBdr>
          <w:top w:val="nil"/>
          <w:left w:val="nil"/>
          <w:bottom w:val="nil"/>
          <w:right w:val="nil"/>
          <w:between w:val="nil"/>
        </w:pBdr>
        <w:spacing w:after="0"/>
        <w:ind w:left="1440"/>
        <w:rPr>
          <w:rFonts w:ascii="Times New Roman" w:hAnsi="Times New Roman" w:cs="Times New Roman"/>
          <w:color w:val="000000" w:themeColor="text1"/>
        </w:rPr>
      </w:pPr>
    </w:p>
    <w:p w14:paraId="77976D0F" w14:textId="63AAAA05" w:rsidR="003912C6" w:rsidRPr="0070161A" w:rsidRDefault="00CC1AA9" w:rsidP="00CC1AA9">
      <w:pPr>
        <w:spacing w:after="0"/>
        <w:rPr>
          <w:rFonts w:ascii="Times New Roman" w:eastAsia="Calibri" w:hAnsi="Times New Roman" w:cs="Times New Roman"/>
          <w:b/>
          <w:bCs/>
          <w:i/>
          <w:iCs/>
          <w:color w:val="000000" w:themeColor="text1"/>
          <w:lang w:val="en-US"/>
        </w:rPr>
      </w:pPr>
      <w:bookmarkStart w:id="8" w:name="_Hlk225710287"/>
      <w:r w:rsidRPr="0070161A">
        <w:rPr>
          <w:rFonts w:ascii="Times New Roman" w:eastAsia="Calibri" w:hAnsi="Times New Roman" w:cs="Times New Roman"/>
          <w:b/>
          <w:bCs/>
          <w:i/>
          <w:iCs/>
          <w:color w:val="000000" w:themeColor="text1"/>
        </w:rPr>
        <w:t xml:space="preserve">Please complete the table and note how you anticipate payers/hospital payers rating the following attributes of Product </w:t>
      </w:r>
      <w:proofErr w:type="gramStart"/>
      <w:r w:rsidRPr="0070161A">
        <w:rPr>
          <w:rFonts w:ascii="Times New Roman" w:eastAsia="Calibri" w:hAnsi="Times New Roman" w:cs="Times New Roman"/>
          <w:b/>
          <w:bCs/>
          <w:i/>
          <w:iCs/>
          <w:color w:val="000000" w:themeColor="text1"/>
        </w:rPr>
        <w:t>X:</w:t>
      </w:r>
      <w:r w:rsidR="003912C6" w:rsidRPr="0070161A">
        <w:rPr>
          <w:rFonts w:ascii="Times New Roman" w:eastAsia="Calibri" w:hAnsi="Times New Roman" w:cs="Times New Roman"/>
          <w:b/>
          <w:bCs/>
          <w:i/>
          <w:iCs/>
          <w:color w:val="000000" w:themeColor="text1"/>
          <w:lang w:val="en-US"/>
        </w:rPr>
        <w:t>:</w:t>
      </w:r>
      <w:proofErr w:type="gramEnd"/>
    </w:p>
    <w:tbl>
      <w:tblPr>
        <w:tblStyle w:val="PlainTable4"/>
        <w:tblW w:w="0" w:type="auto"/>
        <w:tblLook w:val="04A0" w:firstRow="1" w:lastRow="0" w:firstColumn="1" w:lastColumn="0" w:noHBand="0" w:noVBand="1"/>
      </w:tblPr>
      <w:tblGrid>
        <w:gridCol w:w="3325"/>
        <w:gridCol w:w="4505"/>
      </w:tblGrid>
      <w:tr w:rsidR="007B0FFA" w:rsidRPr="009A53ED" w14:paraId="7014C7F2" w14:textId="77777777" w:rsidTr="00E50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4C82E3DF" w14:textId="45B62D51" w:rsidR="003912C6" w:rsidRPr="009A53ED" w:rsidRDefault="003912C6"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Rating (1-5)</w:t>
            </w:r>
            <w:r w:rsidR="00FB3903" w:rsidRPr="009A53ED">
              <w:rPr>
                <w:rFonts w:ascii="Times New Roman" w:eastAsia="Calibri" w:hAnsi="Times New Roman" w:cs="Times New Roman"/>
                <w:b w:val="0"/>
                <w:bCs w:val="0"/>
                <w:color w:val="000000" w:themeColor="text1"/>
                <w:lang w:val="en-US"/>
              </w:rPr>
              <w:t xml:space="preserve"> </w:t>
            </w:r>
            <w:r w:rsidRPr="009A53ED">
              <w:rPr>
                <w:rFonts w:ascii="Times New Roman" w:eastAsia="Calibri" w:hAnsi="Times New Roman" w:cs="Times New Roman"/>
                <w:b w:val="0"/>
                <w:bCs w:val="0"/>
                <w:color w:val="000000" w:themeColor="text1"/>
                <w:lang w:val="en-US"/>
              </w:rPr>
              <w:t>- Efficacy</w:t>
            </w:r>
            <w:r w:rsidRPr="009A53ED">
              <w:rPr>
                <w:rFonts w:ascii="Times New Roman" w:eastAsia="Calibri" w:hAnsi="Times New Roman" w:cs="Times New Roman"/>
                <w:b w:val="0"/>
                <w:bCs w:val="0"/>
                <w:color w:val="000000" w:themeColor="text1"/>
                <w:lang w:val="en-US"/>
              </w:rPr>
              <w:br/>
              <w:t>Product X on a Scale of 1-5, where “5” is “highly efficacious” and “1” is “not efficacious at all”.</w:t>
            </w:r>
          </w:p>
          <w:p w14:paraId="073FD6A2" w14:textId="78ED00E1" w:rsidR="00FB3903" w:rsidRPr="009A53ED" w:rsidRDefault="00FB3903" w:rsidP="0030593A">
            <w:pPr>
              <w:pStyle w:val="ListBullet2"/>
              <w:numPr>
                <w:ilvl w:val="0"/>
                <w:numId w:val="0"/>
              </w:numPr>
              <w:rPr>
                <w:rFonts w:ascii="Times New Roman" w:eastAsia="Calibri" w:hAnsi="Times New Roman" w:cs="Times New Roman"/>
                <w:b w:val="0"/>
                <w:bCs w:val="0"/>
                <w:color w:val="000000" w:themeColor="text1"/>
                <w:lang w:val="en-US"/>
              </w:rPr>
            </w:pPr>
          </w:p>
        </w:tc>
        <w:tc>
          <w:tcPr>
            <w:tcW w:w="4505" w:type="dxa"/>
          </w:tcPr>
          <w:p w14:paraId="3719B3D5" w14:textId="0F356B39" w:rsidR="003912C6" w:rsidRPr="009A53ED" w:rsidRDefault="00914D06" w:rsidP="0030593A">
            <w:pPr>
              <w:pStyle w:val="ListBullet2"/>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000000" w:themeColor="text1"/>
                <w:lang w:val="en-US"/>
              </w:rPr>
            </w:pPr>
            <w:r>
              <w:rPr>
                <w:rFonts w:ascii="Times New Roman" w:eastAsia="Calibri" w:hAnsi="Times New Roman" w:cs="Times New Roman"/>
                <w:b w:val="0"/>
                <w:bCs w:val="0"/>
                <w:color w:val="000000" w:themeColor="text1"/>
                <w:lang w:val="en-US"/>
              </w:rPr>
              <w:t>4.5</w:t>
            </w:r>
          </w:p>
        </w:tc>
      </w:tr>
      <w:tr w:rsidR="007B0FFA" w:rsidRPr="009A53ED" w14:paraId="7C4DFD01" w14:textId="77777777" w:rsidTr="00CC1AA9">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3325" w:type="dxa"/>
          </w:tcPr>
          <w:p w14:paraId="68477963" w14:textId="53F84B3A" w:rsidR="003912C6" w:rsidRPr="009A53ED" w:rsidRDefault="003912C6"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Rating (1-5)</w:t>
            </w:r>
            <w:r w:rsidR="00FB3903" w:rsidRPr="009A53ED">
              <w:rPr>
                <w:rFonts w:ascii="Times New Roman" w:eastAsia="Calibri" w:hAnsi="Times New Roman" w:cs="Times New Roman"/>
                <w:b w:val="0"/>
                <w:bCs w:val="0"/>
                <w:color w:val="000000" w:themeColor="text1"/>
                <w:lang w:val="en-US"/>
              </w:rPr>
              <w:t xml:space="preserve"> </w:t>
            </w:r>
            <w:r w:rsidRPr="009A53ED">
              <w:rPr>
                <w:rFonts w:ascii="Times New Roman" w:eastAsia="Calibri" w:hAnsi="Times New Roman" w:cs="Times New Roman"/>
                <w:b w:val="0"/>
                <w:bCs w:val="0"/>
                <w:color w:val="000000" w:themeColor="text1"/>
                <w:lang w:val="en-US"/>
              </w:rPr>
              <w:t xml:space="preserve">- Safety </w:t>
            </w:r>
            <w:r w:rsidRPr="009A53ED">
              <w:rPr>
                <w:rFonts w:ascii="Times New Roman" w:eastAsia="Calibri" w:hAnsi="Times New Roman" w:cs="Times New Roman"/>
                <w:b w:val="0"/>
                <w:bCs w:val="0"/>
                <w:color w:val="000000" w:themeColor="text1"/>
                <w:lang w:val="en-US"/>
              </w:rPr>
              <w:br/>
              <w:t>Product X on a Scale of 1-5, where “5” is “highly safe” and “1” is “not safe at all”.</w:t>
            </w:r>
          </w:p>
        </w:tc>
        <w:tc>
          <w:tcPr>
            <w:tcW w:w="4505" w:type="dxa"/>
          </w:tcPr>
          <w:p w14:paraId="1908A927" w14:textId="0F5F116C" w:rsidR="003912C6" w:rsidRPr="009A53ED" w:rsidRDefault="00914D06"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4</w:t>
            </w:r>
          </w:p>
        </w:tc>
      </w:tr>
      <w:tr w:rsidR="007B0FFA" w:rsidRPr="009A53ED" w14:paraId="5BE56826" w14:textId="77777777" w:rsidTr="00E5054C">
        <w:trPr>
          <w:trHeight w:val="765"/>
        </w:trPr>
        <w:tc>
          <w:tcPr>
            <w:cnfStyle w:val="001000000000" w:firstRow="0" w:lastRow="0" w:firstColumn="1" w:lastColumn="0" w:oddVBand="0" w:evenVBand="0" w:oddHBand="0" w:evenHBand="0" w:firstRowFirstColumn="0" w:firstRowLastColumn="0" w:lastRowFirstColumn="0" w:lastRowLastColumn="0"/>
            <w:tcW w:w="3325" w:type="dxa"/>
          </w:tcPr>
          <w:p w14:paraId="56F00646" w14:textId="2370313D" w:rsidR="003912C6" w:rsidRPr="009A53ED" w:rsidRDefault="003912C6"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Rating (1-5)</w:t>
            </w:r>
            <w:r w:rsidR="00FB3903" w:rsidRPr="009A53ED">
              <w:rPr>
                <w:rFonts w:ascii="Times New Roman" w:eastAsia="Calibri" w:hAnsi="Times New Roman" w:cs="Times New Roman"/>
                <w:b w:val="0"/>
                <w:bCs w:val="0"/>
                <w:color w:val="000000" w:themeColor="text1"/>
                <w:lang w:val="en-US"/>
              </w:rPr>
              <w:t xml:space="preserve"> </w:t>
            </w:r>
            <w:r w:rsidRPr="009A53ED">
              <w:rPr>
                <w:rFonts w:ascii="Times New Roman" w:eastAsia="Calibri" w:hAnsi="Times New Roman" w:cs="Times New Roman"/>
                <w:b w:val="0"/>
                <w:bCs w:val="0"/>
                <w:color w:val="000000" w:themeColor="text1"/>
                <w:lang w:val="en-US"/>
              </w:rPr>
              <w:t>- Outcomes</w:t>
            </w:r>
            <w:r w:rsidR="00CC1AA9" w:rsidRPr="009A53ED">
              <w:rPr>
                <w:rFonts w:ascii="Times New Roman" w:eastAsia="Calibri" w:hAnsi="Times New Roman" w:cs="Times New Roman"/>
                <w:b w:val="0"/>
                <w:bCs w:val="0"/>
                <w:color w:val="000000" w:themeColor="text1"/>
                <w:lang w:val="en-US"/>
              </w:rPr>
              <w:t xml:space="preserve"> </w:t>
            </w:r>
            <w:r w:rsidR="00CC1AA9" w:rsidRPr="009A53ED">
              <w:rPr>
                <w:rFonts w:ascii="Times New Roman" w:eastAsia="Calibri" w:hAnsi="Times New Roman" w:cs="Times New Roman"/>
                <w:b w:val="0"/>
                <w:bCs w:val="0"/>
                <w:color w:val="000000" w:themeColor="text1"/>
                <w:lang w:val="en-US"/>
              </w:rPr>
              <w:br/>
              <w:t>Product X on a Scale of 1-5, where “5” is “highly valuable Outcomes” and “1” is “no valuable Outcomes”.</w:t>
            </w:r>
          </w:p>
        </w:tc>
        <w:tc>
          <w:tcPr>
            <w:tcW w:w="4505" w:type="dxa"/>
          </w:tcPr>
          <w:p w14:paraId="512D8F75" w14:textId="4D2C1A0D" w:rsidR="003912C6" w:rsidRPr="009A53ED" w:rsidRDefault="00914D06" w:rsidP="0030593A">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5</w:t>
            </w:r>
          </w:p>
        </w:tc>
      </w:tr>
      <w:tr w:rsidR="007B0FFA" w:rsidRPr="009A53ED" w14:paraId="7FAF4936" w14:textId="77777777" w:rsidTr="00E50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3191F78E" w14:textId="77777777" w:rsidR="003912C6" w:rsidRPr="009A53ED" w:rsidRDefault="003912C6"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Rating (1-5)- Administration</w:t>
            </w:r>
            <w:r w:rsidRPr="009A53ED">
              <w:rPr>
                <w:rFonts w:ascii="Times New Roman" w:eastAsia="Calibri" w:hAnsi="Times New Roman" w:cs="Times New Roman"/>
                <w:b w:val="0"/>
                <w:bCs w:val="0"/>
                <w:color w:val="000000" w:themeColor="text1"/>
                <w:lang w:val="en-US"/>
              </w:rPr>
              <w:br/>
              <w:t>Scale of 1-5, where “5” is “in line with current administration setting and personnel requirements” and “1” is “very different to current administration setting and personnel requirements”</w:t>
            </w:r>
          </w:p>
          <w:p w14:paraId="0AD9622F" w14:textId="5EB04101" w:rsidR="00FB3903" w:rsidRPr="009A53ED" w:rsidRDefault="00FB3903" w:rsidP="0030593A">
            <w:pPr>
              <w:pStyle w:val="ListBullet2"/>
              <w:numPr>
                <w:ilvl w:val="0"/>
                <w:numId w:val="0"/>
              </w:numPr>
              <w:rPr>
                <w:rFonts w:ascii="Times New Roman" w:eastAsia="Calibri" w:hAnsi="Times New Roman" w:cs="Times New Roman"/>
                <w:b w:val="0"/>
                <w:bCs w:val="0"/>
                <w:color w:val="000000" w:themeColor="text1"/>
                <w:lang w:val="en-US"/>
              </w:rPr>
            </w:pPr>
          </w:p>
        </w:tc>
        <w:tc>
          <w:tcPr>
            <w:tcW w:w="4505" w:type="dxa"/>
          </w:tcPr>
          <w:p w14:paraId="50985986" w14:textId="0674F624" w:rsidR="003912C6" w:rsidRPr="009A53ED" w:rsidRDefault="00914D06"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2.5</w:t>
            </w:r>
          </w:p>
        </w:tc>
      </w:tr>
      <w:bookmarkEnd w:id="8"/>
    </w:tbl>
    <w:p w14:paraId="553F4719" w14:textId="77777777" w:rsidR="003912C6" w:rsidRPr="009A53ED" w:rsidRDefault="003912C6" w:rsidP="003912C6">
      <w:pPr>
        <w:pStyle w:val="ListBullet2"/>
        <w:numPr>
          <w:ilvl w:val="0"/>
          <w:numId w:val="0"/>
        </w:numPr>
        <w:ind w:left="720"/>
        <w:rPr>
          <w:rFonts w:ascii="Times New Roman" w:hAnsi="Times New Roman" w:cs="Times New Roman"/>
          <w:color w:val="000000" w:themeColor="text1"/>
        </w:rPr>
      </w:pPr>
    </w:p>
    <w:p w14:paraId="571107F2" w14:textId="62446439" w:rsidR="005721E5" w:rsidRPr="0070161A" w:rsidRDefault="00134B51">
      <w:pPr>
        <w:pStyle w:val="Heading2"/>
        <w:rPr>
          <w:rFonts w:ascii="Times New Roman" w:hAnsi="Times New Roman" w:cs="Times New Roman"/>
          <w:i/>
          <w:iCs/>
          <w:color w:val="000000" w:themeColor="text1"/>
        </w:rPr>
      </w:pPr>
      <w:r w:rsidRPr="0070161A">
        <w:rPr>
          <w:rFonts w:ascii="Times New Roman" w:hAnsi="Times New Roman" w:cs="Times New Roman"/>
          <w:i/>
          <w:iCs/>
          <w:color w:val="000000" w:themeColor="text1"/>
        </w:rPr>
        <w:t>Section III: Economic Evaluation</w:t>
      </w:r>
      <w:r w:rsidR="00E5054C" w:rsidRPr="0070161A">
        <w:rPr>
          <w:rFonts w:ascii="Times New Roman" w:hAnsi="Times New Roman" w:cs="Times New Roman"/>
          <w:i/>
          <w:iCs/>
          <w:color w:val="000000" w:themeColor="text1"/>
        </w:rPr>
        <w:t xml:space="preserve"> </w:t>
      </w:r>
    </w:p>
    <w:p w14:paraId="762F9BE2" w14:textId="55B67D54" w:rsidR="003912C6" w:rsidRPr="0070161A" w:rsidRDefault="00134B51" w:rsidP="00CC1AA9">
      <w:pPr>
        <w:numPr>
          <w:ilvl w:val="0"/>
          <w:numId w:val="1"/>
        </w:numPr>
        <w:pBdr>
          <w:top w:val="nil"/>
          <w:left w:val="nil"/>
          <w:bottom w:val="nil"/>
          <w:right w:val="nil"/>
          <w:between w:val="nil"/>
        </w:pBdr>
        <w:spacing w:after="0"/>
        <w:ind w:left="360"/>
        <w:rPr>
          <w:rFonts w:ascii="Times New Roman" w:eastAsia="Calibri" w:hAnsi="Times New Roman" w:cs="Times New Roman"/>
          <w:b/>
          <w:bCs/>
          <w:i/>
          <w:iCs/>
          <w:color w:val="000000" w:themeColor="text1"/>
          <w:lang w:val="en-US"/>
        </w:rPr>
      </w:pPr>
      <w:bookmarkStart w:id="9" w:name="_Hlk225710397"/>
      <w:bookmarkStart w:id="10" w:name="_Hlk225710551"/>
      <w:r w:rsidRPr="0070161A">
        <w:rPr>
          <w:rFonts w:ascii="Times New Roman" w:eastAsia="Calibri" w:hAnsi="Times New Roman" w:cs="Times New Roman"/>
          <w:b/>
          <w:bCs/>
          <w:i/>
          <w:iCs/>
          <w:color w:val="000000" w:themeColor="text1"/>
          <w:lang w:val="en-US"/>
        </w:rPr>
        <w:t xml:space="preserve">What would </w:t>
      </w:r>
      <w:r w:rsidR="00CC1AA9" w:rsidRPr="0070161A">
        <w:rPr>
          <w:rFonts w:ascii="Times New Roman" w:eastAsia="Calibri" w:hAnsi="Times New Roman" w:cs="Times New Roman"/>
          <w:b/>
          <w:bCs/>
          <w:i/>
          <w:iCs/>
          <w:color w:val="000000" w:themeColor="text1"/>
          <w:lang w:val="en-US"/>
        </w:rPr>
        <w:t xml:space="preserve">you anticipate payers and hospital payers’ </w:t>
      </w:r>
      <w:r w:rsidRPr="0070161A">
        <w:rPr>
          <w:rFonts w:ascii="Times New Roman" w:eastAsia="Calibri" w:hAnsi="Times New Roman" w:cs="Times New Roman"/>
          <w:b/>
          <w:bCs/>
          <w:i/>
          <w:iCs/>
          <w:color w:val="000000" w:themeColor="text1"/>
          <w:lang w:val="en-US"/>
        </w:rPr>
        <w:t>price expectations for Product X</w:t>
      </w:r>
      <w:r w:rsidR="00CC1AA9" w:rsidRPr="0070161A">
        <w:rPr>
          <w:rFonts w:ascii="Times New Roman" w:eastAsia="Calibri" w:hAnsi="Times New Roman" w:cs="Times New Roman"/>
          <w:b/>
          <w:bCs/>
          <w:i/>
          <w:iCs/>
          <w:color w:val="000000" w:themeColor="text1"/>
          <w:lang w:val="en-US"/>
        </w:rPr>
        <w:t xml:space="preserve"> to be</w:t>
      </w:r>
      <w:r w:rsidRPr="0070161A">
        <w:rPr>
          <w:rFonts w:ascii="Times New Roman" w:eastAsia="Calibri" w:hAnsi="Times New Roman" w:cs="Times New Roman"/>
          <w:b/>
          <w:bCs/>
          <w:i/>
          <w:iCs/>
          <w:color w:val="000000" w:themeColor="text1"/>
          <w:lang w:val="en-US"/>
        </w:rPr>
        <w:t>?</w:t>
      </w:r>
    </w:p>
    <w:p w14:paraId="71A7D616" w14:textId="64D95230" w:rsidR="0070161A" w:rsidRPr="0070161A" w:rsidRDefault="0070161A" w:rsidP="0070161A">
      <w:pPr>
        <w:pStyle w:val="p1"/>
      </w:pPr>
      <w:r w:rsidRPr="0070161A">
        <w:t xml:space="preserve">From a payer and hospital perspective, price expectations for Product X will be anchored less to its clinical value in isolation and more to </w:t>
      </w:r>
      <w:r w:rsidRPr="0070161A">
        <w:rPr>
          <w:rStyle w:val="s1"/>
        </w:rPr>
        <w:t>how it fits within, or is supported alongside, the inpatient DRG reimbursement structure</w:t>
      </w:r>
      <w:r w:rsidRPr="0070161A">
        <w:t>.</w:t>
      </w:r>
    </w:p>
    <w:p w14:paraId="2B8B6C39" w14:textId="0032D5BB" w:rsidR="0070161A" w:rsidRPr="0070161A" w:rsidRDefault="0070161A" w:rsidP="0070161A">
      <w:pPr>
        <w:pStyle w:val="p1"/>
      </w:pPr>
      <w:r w:rsidRPr="0070161A">
        <w:t xml:space="preserve">At a baseline, hospitals will evaluate Product X against the </w:t>
      </w:r>
      <w:r w:rsidRPr="0070161A">
        <w:rPr>
          <w:rStyle w:val="s1"/>
        </w:rPr>
        <w:t>existing DRG payment for EVT cases</w:t>
      </w:r>
      <w:r w:rsidRPr="0070161A">
        <w:t xml:space="preserve">, which is approximately $25,000 to $50,000 depending on </w:t>
      </w:r>
      <w:proofErr w:type="gramStart"/>
      <w:r w:rsidRPr="0070161A">
        <w:t>severity</w:t>
      </w:r>
      <w:r w:rsidRPr="0070161A">
        <w:rPr>
          <w:rStyle w:val="apple-converted-space"/>
        </w:rPr>
        <w:t xml:space="preserve">  </w:t>
      </w:r>
      <w:r w:rsidRPr="0070161A">
        <w:t>(</w:t>
      </w:r>
      <w:proofErr w:type="gramEnd"/>
      <w:r w:rsidRPr="0070161A">
        <w:t>page 12). Within that framework, there is limited capacity to absorb additional cost unless it is offset by reduced utilization or supported through incremental reimbursement.</w:t>
      </w:r>
    </w:p>
    <w:p w14:paraId="4EBFB163" w14:textId="393E15B1" w:rsidR="0070161A" w:rsidRPr="0070161A" w:rsidRDefault="0070161A" w:rsidP="0070161A">
      <w:pPr>
        <w:pStyle w:val="p1"/>
      </w:pPr>
      <w:r w:rsidRPr="0070161A">
        <w:t xml:space="preserve">At launch, absent NTAP or before it is fully operational, hospital price expectations will be conservative. The relevant benchmark becomes the </w:t>
      </w:r>
      <w:r w:rsidRPr="0070161A">
        <w:rPr>
          <w:rStyle w:val="s1"/>
        </w:rPr>
        <w:t>economic value of reduced length of stay</w:t>
      </w:r>
      <w:r w:rsidRPr="0070161A">
        <w:t xml:space="preserve">, which the Phase 2 data </w:t>
      </w:r>
      <w:proofErr w:type="gramStart"/>
      <w:r w:rsidRPr="0070161A">
        <w:t>suggests</w:t>
      </w:r>
      <w:proofErr w:type="gramEnd"/>
      <w:r w:rsidRPr="0070161A">
        <w:t xml:space="preserve"> is approximately 3 to 5 fewer hospital </w:t>
      </w:r>
      <w:proofErr w:type="gramStart"/>
      <w:r w:rsidRPr="0070161A">
        <w:t>days</w:t>
      </w:r>
      <w:r w:rsidRPr="0070161A">
        <w:rPr>
          <w:rStyle w:val="apple-converted-space"/>
        </w:rPr>
        <w:t xml:space="preserve">  </w:t>
      </w:r>
      <w:r w:rsidRPr="0070161A">
        <w:t>(</w:t>
      </w:r>
      <w:proofErr w:type="gramEnd"/>
      <w:r w:rsidRPr="0070161A">
        <w:t>page 7). In practical terms, that translates into a recoverable value in the range of roughly $10,000 to $15,000. As a result, hospitals would likely view pricing in that range as acceptable, while pricing above approximately $20,000 to $25,000 begins to create meaningful margin pressure. Beyond that level, adoption would be constrained unless there is a clear pathway to additional reimbursement.</w:t>
      </w:r>
    </w:p>
    <w:p w14:paraId="7CDB748B" w14:textId="1DD2E7F8" w:rsidR="0070161A" w:rsidRPr="0070161A" w:rsidRDefault="0070161A" w:rsidP="0070161A">
      <w:pPr>
        <w:pStyle w:val="p1"/>
      </w:pPr>
      <w:r w:rsidRPr="0070161A">
        <w:t xml:space="preserve">Payers, particularly Medicare, are less sensitive to the unit price at the claim level because payment is bundled under the DRG. However, they will still form expectations around price based on </w:t>
      </w:r>
      <w:r w:rsidRPr="0070161A">
        <w:rPr>
          <w:rStyle w:val="s1"/>
        </w:rPr>
        <w:t>budget impact, precedent, and whether the therapy is supported by CMS mechanisms such as NTAP</w:t>
      </w:r>
      <w:r w:rsidRPr="0070161A">
        <w:t>. At higher price points, payers would likely reinforce clinical criteria for use and monitor utilization closely, even if formal prior authorization is not applied in the inpatient setting.</w:t>
      </w:r>
    </w:p>
    <w:p w14:paraId="13ADEA48" w14:textId="3F19CD97" w:rsidR="0070161A" w:rsidRPr="0070161A" w:rsidRDefault="0070161A" w:rsidP="0070161A">
      <w:pPr>
        <w:pStyle w:val="p1"/>
      </w:pPr>
      <w:r w:rsidRPr="0070161A">
        <w:t xml:space="preserve">Once NTAP is in place, price expectations expand. NTAP typically covers up to approximately 65% of the incremental cost of a new therapy, which materially reduces the financial burden on hospitals. Under that structure, hospitals shift from evaluating the full price to evaluating the </w:t>
      </w:r>
      <w:r w:rsidRPr="0070161A">
        <w:rPr>
          <w:rStyle w:val="s1"/>
        </w:rPr>
        <w:t>net cost after NTAP support</w:t>
      </w:r>
      <w:r w:rsidRPr="0070161A">
        <w:t xml:space="preserve">. This allows pricing in the range of approximately $25,000 to $35,000 to become viable, which is consistent with the expectation in the materials that hospitals will require additional funding to support therapies above roughly $20,000 to $30,000 per </w:t>
      </w:r>
      <w:proofErr w:type="gramStart"/>
      <w:r w:rsidRPr="0070161A">
        <w:t>patient</w:t>
      </w:r>
      <w:r w:rsidRPr="0070161A">
        <w:rPr>
          <w:rStyle w:val="apple-converted-space"/>
        </w:rPr>
        <w:t xml:space="preserve">  </w:t>
      </w:r>
      <w:r w:rsidRPr="0070161A">
        <w:t>(</w:t>
      </w:r>
      <w:proofErr w:type="gramEnd"/>
      <w:r w:rsidRPr="0070161A">
        <w:t>page 12).</w:t>
      </w:r>
    </w:p>
    <w:p w14:paraId="601409CE" w14:textId="5BF0F20B" w:rsidR="0070161A" w:rsidRPr="0070161A" w:rsidRDefault="0070161A" w:rsidP="0070161A">
      <w:pPr>
        <w:pStyle w:val="p1"/>
      </w:pPr>
      <w:r w:rsidRPr="0070161A">
        <w:t>Over time, if clinical value is confirmed and utilization becomes standardized, CMS may adjust DRG weights or create a DRG split, at which point price expectations become less constrained by offset economics and more aligned with standard-of-care positioning.</w:t>
      </w:r>
    </w:p>
    <w:p w14:paraId="7BC90816" w14:textId="77777777" w:rsidR="0070161A" w:rsidRPr="0070161A" w:rsidRDefault="0070161A" w:rsidP="0070161A">
      <w:pPr>
        <w:pStyle w:val="p1"/>
      </w:pPr>
      <w:r w:rsidRPr="0070161A">
        <w:t xml:space="preserve">In summary, at launch, price expectations are anchored to </w:t>
      </w:r>
      <w:r w:rsidRPr="0070161A">
        <w:rPr>
          <w:rStyle w:val="s1"/>
        </w:rPr>
        <w:t>what can be absorbed within or offset against the DRG, roughly in the $10,000 to $20,000 range</w:t>
      </w:r>
      <w:r w:rsidRPr="0070161A">
        <w:t xml:space="preserve">, whereas post-NTAP, expectations expand to </w:t>
      </w:r>
      <w:r w:rsidRPr="0070161A">
        <w:rPr>
          <w:rStyle w:val="s1"/>
        </w:rPr>
        <w:t>approximately $25,000 to $35,000</w:t>
      </w:r>
      <w:r w:rsidRPr="0070161A">
        <w:t>, reflecting the shift from gross cost to net cost after supplemental reimbursement.</w:t>
      </w:r>
    </w:p>
    <w:p w14:paraId="1595FC19" w14:textId="77777777" w:rsidR="0070161A" w:rsidRPr="009A53ED" w:rsidRDefault="0070161A" w:rsidP="0070161A">
      <w:pPr>
        <w:pBdr>
          <w:top w:val="nil"/>
          <w:left w:val="nil"/>
          <w:bottom w:val="nil"/>
          <w:right w:val="nil"/>
          <w:between w:val="nil"/>
        </w:pBdr>
        <w:spacing w:after="0"/>
        <w:rPr>
          <w:rFonts w:ascii="Times New Roman" w:eastAsia="Calibri" w:hAnsi="Times New Roman" w:cs="Times New Roman"/>
          <w:color w:val="000000" w:themeColor="text1"/>
          <w:lang w:val="en-US"/>
        </w:rPr>
      </w:pPr>
      <w:bookmarkStart w:id="11" w:name="_Hlk225710876"/>
    </w:p>
    <w:bookmarkEnd w:id="10"/>
    <w:p w14:paraId="5728186B" w14:textId="179AB86E" w:rsidR="003912C6" w:rsidRPr="0070161A" w:rsidRDefault="00CC1AA9" w:rsidP="00CC1AA9">
      <w:pPr>
        <w:pBdr>
          <w:top w:val="nil"/>
          <w:left w:val="nil"/>
          <w:bottom w:val="nil"/>
          <w:right w:val="nil"/>
          <w:between w:val="nil"/>
        </w:pBdr>
        <w:spacing w:after="0"/>
        <w:rPr>
          <w:rFonts w:ascii="Times New Roman" w:eastAsia="Calibri" w:hAnsi="Times New Roman" w:cs="Times New Roman"/>
          <w:b/>
          <w:bCs/>
          <w:i/>
          <w:iCs/>
          <w:color w:val="000000" w:themeColor="text1"/>
        </w:rPr>
      </w:pPr>
      <w:r w:rsidRPr="0070161A">
        <w:rPr>
          <w:rFonts w:ascii="Times New Roman" w:eastAsia="Calibri" w:hAnsi="Times New Roman" w:cs="Times New Roman"/>
          <w:b/>
          <w:bCs/>
          <w:i/>
          <w:iCs/>
          <w:color w:val="000000" w:themeColor="text1"/>
        </w:rPr>
        <w:t>Please complete the table and note how you anticipate payers covering Product X at the following prices:</w:t>
      </w:r>
    </w:p>
    <w:p w14:paraId="4D6B37EF" w14:textId="77777777" w:rsidR="0070161A" w:rsidRDefault="0070161A" w:rsidP="00CC1AA9">
      <w:pPr>
        <w:pBdr>
          <w:top w:val="nil"/>
          <w:left w:val="nil"/>
          <w:bottom w:val="nil"/>
          <w:right w:val="nil"/>
          <w:between w:val="nil"/>
        </w:pBdr>
        <w:spacing w:after="0"/>
        <w:rPr>
          <w:rFonts w:ascii="Times New Roman" w:eastAsia="Calibri" w:hAnsi="Times New Roman" w:cs="Times New Roman"/>
          <w:color w:val="000000" w:themeColor="text1"/>
        </w:rPr>
      </w:pPr>
    </w:p>
    <w:p w14:paraId="0F23C796" w14:textId="529E326B" w:rsidR="0070161A" w:rsidRPr="0070161A" w:rsidRDefault="0070161A" w:rsidP="0070161A">
      <w:pPr>
        <w:pBdr>
          <w:top w:val="nil"/>
          <w:left w:val="nil"/>
          <w:bottom w:val="nil"/>
          <w:right w:val="nil"/>
          <w:between w:val="nil"/>
        </w:pBdr>
        <w:spacing w:after="0"/>
        <w:rPr>
          <w:rFonts w:ascii="Times New Roman" w:hAnsi="Times New Roman" w:cs="Times New Roman"/>
          <w:color w:val="000000" w:themeColor="text1"/>
        </w:rPr>
      </w:pPr>
      <w:r w:rsidRPr="0070161A">
        <w:rPr>
          <w:rFonts w:ascii="Times New Roman" w:hAnsi="Times New Roman" w:cs="Times New Roman"/>
          <w:color w:val="000000" w:themeColor="text1"/>
        </w:rPr>
        <w:t>From a payer perspective, coverage of Product X will not hinge on traditional “formulary inclusion” in the outpatient sense, but rather on whether its use is clinically justified within the inpatient episode and whether its cost is manageable within or alongside the DRG payment structure. Because inpatient care is reimbursed as a bundled payment, payers generally do not deny access at the point of care, but they do influence use through clinical criteria and retrospective review.</w:t>
      </w:r>
    </w:p>
    <w:p w14:paraId="6AAC7D89" w14:textId="77777777" w:rsidR="0070161A" w:rsidRPr="0070161A" w:rsidRDefault="0070161A" w:rsidP="0070161A">
      <w:pPr>
        <w:pBdr>
          <w:top w:val="nil"/>
          <w:left w:val="nil"/>
          <w:bottom w:val="nil"/>
          <w:right w:val="nil"/>
          <w:between w:val="nil"/>
        </w:pBdr>
        <w:spacing w:after="0"/>
        <w:rPr>
          <w:rFonts w:ascii="Times New Roman" w:hAnsi="Times New Roman" w:cs="Times New Roman"/>
          <w:color w:val="000000" w:themeColor="text1"/>
        </w:rPr>
      </w:pPr>
    </w:p>
    <w:p w14:paraId="2FA84A1F" w14:textId="7658EBE0" w:rsidR="0070161A" w:rsidRDefault="0070161A" w:rsidP="0070161A">
      <w:pPr>
        <w:pBdr>
          <w:top w:val="nil"/>
          <w:left w:val="nil"/>
          <w:bottom w:val="nil"/>
          <w:right w:val="nil"/>
          <w:between w:val="nil"/>
        </w:pBdr>
        <w:spacing w:after="0"/>
        <w:rPr>
          <w:rFonts w:ascii="Times New Roman" w:hAnsi="Times New Roman" w:cs="Times New Roman"/>
          <w:color w:val="000000" w:themeColor="text1"/>
        </w:rPr>
      </w:pPr>
      <w:r w:rsidRPr="0070161A">
        <w:rPr>
          <w:rFonts w:ascii="Times New Roman" w:hAnsi="Times New Roman" w:cs="Times New Roman"/>
          <w:color w:val="000000" w:themeColor="text1"/>
        </w:rPr>
        <w:t>With that context, expected coverage and management would evolve meaningfully by price point:</w:t>
      </w:r>
    </w:p>
    <w:p w14:paraId="47A474D0" w14:textId="77777777" w:rsidR="0070161A" w:rsidRPr="009A53ED" w:rsidRDefault="0070161A" w:rsidP="0070161A">
      <w:pPr>
        <w:pBdr>
          <w:top w:val="nil"/>
          <w:left w:val="nil"/>
          <w:bottom w:val="nil"/>
          <w:right w:val="nil"/>
          <w:between w:val="nil"/>
        </w:pBdr>
        <w:spacing w:after="0"/>
        <w:rPr>
          <w:rFonts w:ascii="Times New Roman" w:hAnsi="Times New Roman" w:cs="Times New Roman"/>
          <w:color w:val="000000" w:themeColor="text1"/>
        </w:rPr>
      </w:pPr>
    </w:p>
    <w:tbl>
      <w:tblPr>
        <w:tblStyle w:val="PlainTable4"/>
        <w:tblW w:w="0" w:type="auto"/>
        <w:tblLook w:val="04A0" w:firstRow="1" w:lastRow="0" w:firstColumn="1" w:lastColumn="0" w:noHBand="0" w:noVBand="1"/>
      </w:tblPr>
      <w:tblGrid>
        <w:gridCol w:w="2424"/>
        <w:gridCol w:w="2743"/>
        <w:gridCol w:w="2743"/>
      </w:tblGrid>
      <w:tr w:rsidR="007B0FFA" w:rsidRPr="009A53ED" w14:paraId="57634ACA" w14:textId="3A4B3AAE" w:rsidTr="007914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73CFB107" w14:textId="0229DDAB" w:rsidR="00CC1AA9" w:rsidRPr="009A53ED" w:rsidRDefault="00CC1AA9" w:rsidP="00CC1AA9">
            <w:pPr>
              <w:pBdr>
                <w:top w:val="nil"/>
                <w:left w:val="nil"/>
                <w:bottom w:val="nil"/>
                <w:right w:val="nil"/>
                <w:between w:val="nil"/>
              </w:pBd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Product X Cost</w:t>
            </w:r>
          </w:p>
        </w:tc>
        <w:tc>
          <w:tcPr>
            <w:tcW w:w="2743" w:type="dxa"/>
            <w:vAlign w:val="center"/>
          </w:tcPr>
          <w:p w14:paraId="01C7570D" w14:textId="3782EA26" w:rsidR="00CC1AA9" w:rsidRPr="009A53ED" w:rsidRDefault="00CC1AA9" w:rsidP="00CC1AA9">
            <w:pPr>
              <w:pStyle w:val="ListBullet2"/>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000000" w:themeColor="text1"/>
                <w:sz w:val="18"/>
                <w:szCs w:val="18"/>
                <w:lang w:val="en-US"/>
              </w:rPr>
            </w:pPr>
            <w:r w:rsidRPr="009A53ED">
              <w:rPr>
                <w:rFonts w:ascii="Times New Roman" w:hAnsi="Times New Roman" w:cs="Times New Roman"/>
                <w:b w:val="0"/>
                <w:bCs w:val="0"/>
                <w:color w:val="000000" w:themeColor="text1"/>
                <w:kern w:val="24"/>
                <w:sz w:val="18"/>
                <w:szCs w:val="18"/>
              </w:rPr>
              <w:t>Would you anticipate payers covering Product X in the formulary?</w:t>
            </w:r>
          </w:p>
        </w:tc>
        <w:tc>
          <w:tcPr>
            <w:tcW w:w="2743" w:type="dxa"/>
            <w:vAlign w:val="center"/>
          </w:tcPr>
          <w:p w14:paraId="7316EE57" w14:textId="793E3510" w:rsidR="00CC1AA9" w:rsidRPr="009A53ED" w:rsidRDefault="00CC1AA9" w:rsidP="00CC1AA9">
            <w:pPr>
              <w:pStyle w:val="ListBullet2"/>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000000" w:themeColor="text1"/>
                <w:sz w:val="18"/>
                <w:szCs w:val="18"/>
                <w:lang w:val="en-US"/>
              </w:rPr>
            </w:pPr>
            <w:r w:rsidRPr="009A53ED">
              <w:rPr>
                <w:rFonts w:ascii="Times New Roman" w:hAnsi="Times New Roman" w:cs="Times New Roman"/>
                <w:b w:val="0"/>
                <w:bCs w:val="0"/>
                <w:color w:val="000000" w:themeColor="text1"/>
                <w:kern w:val="24"/>
                <w:sz w:val="18"/>
                <w:szCs w:val="18"/>
              </w:rPr>
              <w:t>How would you anticipate payers to manage Product X at these prices in terms of restrictions? (</w:t>
            </w:r>
            <w:proofErr w:type="spellStart"/>
            <w:r w:rsidRPr="009A53ED">
              <w:rPr>
                <w:rFonts w:ascii="Times New Roman" w:hAnsi="Times New Roman" w:cs="Times New Roman"/>
                <w:b w:val="0"/>
                <w:bCs w:val="0"/>
                <w:color w:val="000000" w:themeColor="text1"/>
                <w:kern w:val="24"/>
                <w:sz w:val="18"/>
                <w:szCs w:val="18"/>
                <w:lang w:val="tr-TR"/>
              </w:rPr>
              <w:t>any</w:t>
            </w:r>
            <w:proofErr w:type="spellEnd"/>
            <w:r w:rsidRPr="009A53ED">
              <w:rPr>
                <w:rFonts w:ascii="Times New Roman" w:hAnsi="Times New Roman" w:cs="Times New Roman"/>
                <w:b w:val="0"/>
                <w:bCs w:val="0"/>
                <w:color w:val="000000" w:themeColor="text1"/>
                <w:kern w:val="24"/>
                <w:sz w:val="18"/>
                <w:szCs w:val="18"/>
                <w:lang w:val="tr-TR"/>
              </w:rPr>
              <w:t xml:space="preserve"> </w:t>
            </w:r>
            <w:r w:rsidRPr="009A53ED">
              <w:rPr>
                <w:rFonts w:ascii="Times New Roman" w:hAnsi="Times New Roman" w:cs="Times New Roman"/>
                <w:b w:val="0"/>
                <w:bCs w:val="0"/>
                <w:color w:val="000000" w:themeColor="text1"/>
                <w:kern w:val="24"/>
                <w:sz w:val="18"/>
                <w:szCs w:val="18"/>
              </w:rPr>
              <w:t>prior authorization, restrictions and quantity limits)</w:t>
            </w:r>
          </w:p>
        </w:tc>
      </w:tr>
      <w:tr w:rsidR="007B0FFA" w:rsidRPr="009A53ED" w14:paraId="47443BE6" w14:textId="01226183" w:rsidTr="00391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2FCCF5A9" w14:textId="185C1F19" w:rsidR="003912C6" w:rsidRPr="009A53ED" w:rsidRDefault="003912C6" w:rsidP="003912C6">
            <w:pPr>
              <w:pBdr>
                <w:top w:val="nil"/>
                <w:left w:val="nil"/>
                <w:bottom w:val="nil"/>
                <w:right w:val="nil"/>
                <w:between w:val="nil"/>
              </w:pBd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$15K per event per patient</w:t>
            </w:r>
          </w:p>
        </w:tc>
        <w:tc>
          <w:tcPr>
            <w:tcW w:w="2743" w:type="dxa"/>
          </w:tcPr>
          <w:p w14:paraId="64F933C7" w14:textId="4CC57FF6" w:rsidR="003912C6" w:rsidRPr="009A53ED" w:rsidRDefault="0070161A"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Yes/Acceptable</w:t>
            </w:r>
          </w:p>
        </w:tc>
        <w:tc>
          <w:tcPr>
            <w:tcW w:w="2743" w:type="dxa"/>
          </w:tcPr>
          <w:p w14:paraId="7BCCE9C4" w14:textId="4121FC50" w:rsidR="0070161A" w:rsidRDefault="0070161A" w:rsidP="0070161A">
            <w:pPr>
              <w:pStyle w:val="p1"/>
              <w:cnfStyle w:val="000000100000" w:firstRow="0" w:lastRow="0" w:firstColumn="0" w:lastColumn="0" w:oddVBand="0" w:evenVBand="0" w:oddHBand="1" w:evenHBand="0" w:firstRowFirstColumn="0" w:firstRowLastColumn="0" w:lastRowFirstColumn="0" w:lastRowLastColumn="0"/>
            </w:pPr>
            <w:r>
              <w:t>U</w:t>
            </w:r>
            <w:r>
              <w:t>nlikely to impose meaningful restrictions beyond standard medical necessity.</w:t>
            </w:r>
          </w:p>
          <w:p w14:paraId="1F0391EB" w14:textId="77777777" w:rsidR="003912C6" w:rsidRPr="009A53ED" w:rsidRDefault="003912C6"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p>
        </w:tc>
      </w:tr>
      <w:tr w:rsidR="007B0FFA" w:rsidRPr="009A53ED" w14:paraId="415B72FD" w14:textId="667FF9B6" w:rsidTr="003912C6">
        <w:tc>
          <w:tcPr>
            <w:cnfStyle w:val="001000000000" w:firstRow="0" w:lastRow="0" w:firstColumn="1" w:lastColumn="0" w:oddVBand="0" w:evenVBand="0" w:oddHBand="0" w:evenHBand="0" w:firstRowFirstColumn="0" w:firstRowLastColumn="0" w:lastRowFirstColumn="0" w:lastRowLastColumn="0"/>
            <w:tcW w:w="2424" w:type="dxa"/>
          </w:tcPr>
          <w:p w14:paraId="1FBAC1E5" w14:textId="3169DD09" w:rsidR="003912C6" w:rsidRPr="009A53ED" w:rsidRDefault="003912C6" w:rsidP="003912C6">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$25K per event per patient</w:t>
            </w:r>
          </w:p>
        </w:tc>
        <w:tc>
          <w:tcPr>
            <w:tcW w:w="2743" w:type="dxa"/>
          </w:tcPr>
          <w:p w14:paraId="5AAD31C7" w14:textId="7A8B3943" w:rsidR="003912C6" w:rsidRPr="009A53ED" w:rsidRDefault="0070161A" w:rsidP="003912C6">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Yes</w:t>
            </w:r>
          </w:p>
        </w:tc>
        <w:tc>
          <w:tcPr>
            <w:tcW w:w="2743" w:type="dxa"/>
          </w:tcPr>
          <w:p w14:paraId="6FFD0928" w14:textId="731F4077" w:rsidR="0070161A" w:rsidRDefault="0070161A" w:rsidP="0070161A">
            <w:pPr>
              <w:pStyle w:val="p1"/>
              <w:cnfStyle w:val="000000000000" w:firstRow="0" w:lastRow="0" w:firstColumn="0" w:lastColumn="0" w:oddVBand="0" w:evenVBand="0" w:oddHBand="0" w:evenHBand="0" w:firstRowFirstColumn="0" w:firstRowLastColumn="0" w:lastRowFirstColumn="0" w:lastRowLastColumn="0"/>
            </w:pPr>
            <w:r>
              <w:t>Payers would likely expect use to be tightly linked to the labeled population, specifically post-EVT patients, and may reinforce documentation requirements.</w:t>
            </w:r>
          </w:p>
          <w:p w14:paraId="569BA4FD" w14:textId="77777777" w:rsidR="003912C6" w:rsidRPr="009A53ED" w:rsidRDefault="003912C6" w:rsidP="003912C6">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p>
        </w:tc>
      </w:tr>
      <w:tr w:rsidR="007B0FFA" w:rsidRPr="009A53ED" w14:paraId="742D78B6" w14:textId="175097C8" w:rsidTr="00391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6C5729A0" w14:textId="5EDA14F5" w:rsidR="003912C6" w:rsidRPr="009A53ED" w:rsidRDefault="003912C6" w:rsidP="003912C6">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$35K per event per patient</w:t>
            </w:r>
          </w:p>
        </w:tc>
        <w:tc>
          <w:tcPr>
            <w:tcW w:w="2743" w:type="dxa"/>
          </w:tcPr>
          <w:p w14:paraId="66E4D788" w14:textId="37A5E590" w:rsidR="003912C6" w:rsidRPr="009A53ED" w:rsidRDefault="0070161A" w:rsidP="003912C6">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Yes</w:t>
            </w:r>
          </w:p>
        </w:tc>
        <w:tc>
          <w:tcPr>
            <w:tcW w:w="2743" w:type="dxa"/>
          </w:tcPr>
          <w:p w14:paraId="09DB86B0" w14:textId="070164C9" w:rsidR="003912C6" w:rsidRPr="0070161A" w:rsidRDefault="0070161A" w:rsidP="0070161A">
            <w:pPr>
              <w:pStyle w:val="p1"/>
              <w:cnfStyle w:val="000000100000" w:firstRow="0" w:lastRow="0" w:firstColumn="0" w:lastColumn="0" w:oddVBand="0" w:evenVBand="0" w:oddHBand="1" w:evenHBand="0" w:firstRowFirstColumn="0" w:firstRowLastColumn="0" w:lastRowFirstColumn="0" w:lastRowLastColumn="0"/>
            </w:pPr>
            <w:r>
              <w:t>Payers would likely expect clear clinical justification tied to severity, timing, and EVT confirmation, and may scrutinize utilization patterns more closely.</w:t>
            </w:r>
            <w:r>
              <w:rPr>
                <w:rStyle w:val="apple-converted-space"/>
              </w:rPr>
              <w:t> </w:t>
            </w:r>
          </w:p>
        </w:tc>
      </w:tr>
      <w:tr w:rsidR="007B0FFA" w:rsidRPr="009A53ED" w14:paraId="7D83FFD7" w14:textId="6E458E0C" w:rsidTr="003912C6">
        <w:tc>
          <w:tcPr>
            <w:cnfStyle w:val="001000000000" w:firstRow="0" w:lastRow="0" w:firstColumn="1" w:lastColumn="0" w:oddVBand="0" w:evenVBand="0" w:oddHBand="0" w:evenHBand="0" w:firstRowFirstColumn="0" w:firstRowLastColumn="0" w:lastRowFirstColumn="0" w:lastRowLastColumn="0"/>
            <w:tcW w:w="2424" w:type="dxa"/>
          </w:tcPr>
          <w:p w14:paraId="0F7CC512" w14:textId="2D5648A6" w:rsidR="003912C6" w:rsidRPr="009A53ED" w:rsidRDefault="003912C6" w:rsidP="003912C6">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$50K per event per patient</w:t>
            </w:r>
          </w:p>
        </w:tc>
        <w:tc>
          <w:tcPr>
            <w:tcW w:w="2743" w:type="dxa"/>
          </w:tcPr>
          <w:p w14:paraId="40A10D32" w14:textId="7133FBAC" w:rsidR="003912C6" w:rsidRPr="009A53ED" w:rsidRDefault="0070161A" w:rsidP="003912C6">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Yes</w:t>
            </w:r>
          </w:p>
        </w:tc>
        <w:tc>
          <w:tcPr>
            <w:tcW w:w="2743" w:type="dxa"/>
          </w:tcPr>
          <w:p w14:paraId="58CF399D" w14:textId="509062F3" w:rsidR="0070161A" w:rsidRDefault="0070161A" w:rsidP="0070161A">
            <w:pPr>
              <w:pStyle w:val="p1"/>
              <w:cnfStyle w:val="000000000000" w:firstRow="0" w:lastRow="0" w:firstColumn="0" w:lastColumn="0" w:oddVBand="0" w:evenVBand="0" w:oddHBand="0" w:evenHBand="0" w:firstRowFirstColumn="0" w:firstRowLastColumn="0" w:lastRowFirstColumn="0" w:lastRowLastColumn="0"/>
            </w:pPr>
            <w:r>
              <w:t>A</w:t>
            </w:r>
            <w:r>
              <w:t>ccess would be limited not by payer policy at the bedside, but by hospital willingness to absorb the cost.</w:t>
            </w:r>
          </w:p>
          <w:p w14:paraId="7D67433D" w14:textId="77777777" w:rsidR="003912C6" w:rsidRPr="009A53ED" w:rsidRDefault="003912C6" w:rsidP="003912C6">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p>
        </w:tc>
      </w:tr>
      <w:bookmarkEnd w:id="11"/>
    </w:tbl>
    <w:p w14:paraId="6FB630C8" w14:textId="77777777" w:rsidR="003912C6" w:rsidRPr="009A53ED" w:rsidRDefault="003912C6" w:rsidP="003912C6">
      <w:pPr>
        <w:pBdr>
          <w:top w:val="nil"/>
          <w:left w:val="nil"/>
          <w:bottom w:val="nil"/>
          <w:right w:val="nil"/>
          <w:between w:val="nil"/>
        </w:pBdr>
        <w:spacing w:after="0"/>
        <w:ind w:left="720"/>
        <w:rPr>
          <w:rFonts w:ascii="Times New Roman" w:hAnsi="Times New Roman" w:cs="Times New Roman"/>
          <w:color w:val="000000" w:themeColor="text1"/>
        </w:rPr>
      </w:pPr>
    </w:p>
    <w:p w14:paraId="3F209340" w14:textId="39CE2FD3" w:rsidR="005721E5" w:rsidRDefault="00134B51" w:rsidP="00CC1AA9">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bookmarkStart w:id="12" w:name="_Hlk225711214"/>
      <w:r w:rsidRPr="009A53ED">
        <w:rPr>
          <w:rFonts w:ascii="Times New Roman" w:eastAsia="Calibri" w:hAnsi="Times New Roman" w:cs="Times New Roman"/>
          <w:color w:val="000000" w:themeColor="text1"/>
          <w:lang w:val="en-US"/>
        </w:rPr>
        <w:t xml:space="preserve">Considering the current average length of stay, how many days would Product X need to decrease the length of hospital stay to offset the DRG costs? </w:t>
      </w:r>
    </w:p>
    <w:p w14:paraId="4DC2A1C8" w14:textId="582CA870" w:rsidR="0070161A" w:rsidRPr="00B34A31" w:rsidRDefault="0070161A" w:rsidP="00B34A31">
      <w:pPr>
        <w:pStyle w:val="p1"/>
      </w:pPr>
      <w:r>
        <w:t>To determine how many days Product X would need to reduce hospital length of stay (LOS) to offset DRG costs, the key inputs are: (1) the incremental cost of the therapy, and (2) the average variable cost per inpatient day.</w:t>
      </w:r>
      <w:r>
        <w:t xml:space="preserve"> </w:t>
      </w:r>
      <w:r>
        <w:t>In the current system, EVT cases are reimbursed under bundled DRGs of approximately $25,000 to $</w:t>
      </w:r>
      <w:proofErr w:type="gramStart"/>
      <w:r>
        <w:t>50,000</w:t>
      </w:r>
      <w:r>
        <w:rPr>
          <w:rStyle w:val="apple-converted-space"/>
        </w:rPr>
        <w:t xml:space="preserve">  </w:t>
      </w:r>
      <w:r>
        <w:t>(</w:t>
      </w:r>
      <w:proofErr w:type="gramEnd"/>
      <w:r>
        <w:t>page 12). Hospitals do not receive additional payment for the drug unless NTAP applies, so any incremental cost must be offset through reduced resource utilization. In practice, the relevant</w:t>
      </w:r>
      <w:r>
        <w:t xml:space="preserve">. </w:t>
      </w:r>
      <w:r>
        <w:t>benc</w:t>
      </w:r>
      <w:r w:rsidRPr="00B34A31">
        <w:t xml:space="preserve">hmark is the </w:t>
      </w:r>
      <w:r w:rsidRPr="00B34A31">
        <w:rPr>
          <w:rStyle w:val="s2"/>
        </w:rPr>
        <w:t>variable cost per inpatient day</w:t>
      </w:r>
      <w:r w:rsidRPr="00B34A31">
        <w:t>, which is typically in the range of approximately $2,000 to $3,000 per day in acute stroke care (</w:t>
      </w:r>
      <w:r w:rsidR="00B34A31" w:rsidRPr="00B34A31">
        <w:t>https://pmc.ncbi.nlm.nih.gov/articles/PMC11064842/</w:t>
      </w:r>
      <w:r w:rsidRPr="00B34A31">
        <w:t>).</w:t>
      </w:r>
    </w:p>
    <w:p w14:paraId="3EC5568A" w14:textId="77777777" w:rsidR="0070161A" w:rsidRPr="00B34A31" w:rsidRDefault="0070161A" w:rsidP="0070161A">
      <w:pPr>
        <w:pStyle w:val="p1"/>
      </w:pPr>
      <w:r w:rsidRPr="00B34A31">
        <w:t>Using that framework:</w:t>
      </w:r>
    </w:p>
    <w:p w14:paraId="3395C0A7" w14:textId="77777777" w:rsidR="0070161A" w:rsidRPr="00B34A31" w:rsidRDefault="0070161A" w:rsidP="0070161A">
      <w:pPr>
        <w:pStyle w:val="p1"/>
        <w:numPr>
          <w:ilvl w:val="0"/>
          <w:numId w:val="24"/>
        </w:numPr>
      </w:pPr>
      <w:r w:rsidRPr="00B34A31">
        <w:t xml:space="preserve">At </w:t>
      </w:r>
      <w:r w:rsidRPr="00B34A31">
        <w:rPr>
          <w:rStyle w:val="s1"/>
        </w:rPr>
        <w:t>$15,000 per treatment</w:t>
      </w:r>
      <w:r w:rsidRPr="00B34A31">
        <w:t xml:space="preserve">, Product X would need to reduce LOS by approximately </w:t>
      </w:r>
      <w:r w:rsidRPr="00B34A31">
        <w:rPr>
          <w:rStyle w:val="s1"/>
        </w:rPr>
        <w:t>5 to 7 days</w:t>
      </w:r>
      <w:r w:rsidRPr="00B34A31">
        <w:t xml:space="preserve"> to fully offset its cost.</w:t>
      </w:r>
    </w:p>
    <w:p w14:paraId="130C9C50" w14:textId="77777777" w:rsidR="0070161A" w:rsidRPr="00B34A31" w:rsidRDefault="0070161A" w:rsidP="0070161A">
      <w:pPr>
        <w:pStyle w:val="p1"/>
        <w:numPr>
          <w:ilvl w:val="0"/>
          <w:numId w:val="24"/>
        </w:numPr>
      </w:pPr>
      <w:r w:rsidRPr="00B34A31">
        <w:t xml:space="preserve">At </w:t>
      </w:r>
      <w:r w:rsidRPr="00B34A31">
        <w:rPr>
          <w:rStyle w:val="s1"/>
        </w:rPr>
        <w:t>$25,000</w:t>
      </w:r>
      <w:r w:rsidRPr="00B34A31">
        <w:t xml:space="preserve">, the required reduction increases to approximately </w:t>
      </w:r>
      <w:r w:rsidRPr="00B34A31">
        <w:rPr>
          <w:rStyle w:val="s1"/>
        </w:rPr>
        <w:t>8 to 12 days</w:t>
      </w:r>
      <w:r w:rsidRPr="00B34A31">
        <w:t>.</w:t>
      </w:r>
    </w:p>
    <w:p w14:paraId="65D57423" w14:textId="77777777" w:rsidR="0070161A" w:rsidRPr="00B34A31" w:rsidRDefault="0070161A" w:rsidP="0070161A">
      <w:pPr>
        <w:pStyle w:val="p1"/>
        <w:numPr>
          <w:ilvl w:val="0"/>
          <w:numId w:val="24"/>
        </w:numPr>
      </w:pPr>
      <w:r w:rsidRPr="00B34A31">
        <w:t xml:space="preserve">At </w:t>
      </w:r>
      <w:r w:rsidRPr="00B34A31">
        <w:rPr>
          <w:rStyle w:val="s1"/>
        </w:rPr>
        <w:t>$35,000</w:t>
      </w:r>
      <w:r w:rsidRPr="00B34A31">
        <w:t xml:space="preserve">, the required reduction would be approximately </w:t>
      </w:r>
      <w:r w:rsidRPr="00B34A31">
        <w:rPr>
          <w:rStyle w:val="s1"/>
        </w:rPr>
        <w:t>12 to 17 days</w:t>
      </w:r>
      <w:r w:rsidRPr="00B34A31">
        <w:t>.</w:t>
      </w:r>
    </w:p>
    <w:p w14:paraId="3D4662C9" w14:textId="48E546DF" w:rsidR="0070161A" w:rsidRPr="00B34A31" w:rsidRDefault="0070161A" w:rsidP="0070161A">
      <w:pPr>
        <w:pStyle w:val="p1"/>
        <w:numPr>
          <w:ilvl w:val="0"/>
          <w:numId w:val="24"/>
        </w:numPr>
      </w:pPr>
      <w:r w:rsidRPr="00B34A31">
        <w:t xml:space="preserve">At </w:t>
      </w:r>
      <w:r w:rsidRPr="00B34A31">
        <w:rPr>
          <w:rStyle w:val="s1"/>
        </w:rPr>
        <w:t>$50,000</w:t>
      </w:r>
      <w:r w:rsidRPr="00B34A31">
        <w:t xml:space="preserve">, the required reduction would exceed </w:t>
      </w:r>
      <w:r w:rsidRPr="00B34A31">
        <w:rPr>
          <w:rStyle w:val="s1"/>
        </w:rPr>
        <w:t>17 to 25 days</w:t>
      </w:r>
      <w:r w:rsidRPr="00B34A31">
        <w:t>, which is not realistic given typical stroke LOS.</w:t>
      </w:r>
    </w:p>
    <w:p w14:paraId="09E96299" w14:textId="1EDCC283" w:rsidR="0070161A" w:rsidRPr="00B34A31" w:rsidRDefault="0070161A" w:rsidP="00B34A31">
      <w:pPr>
        <w:pStyle w:val="p1"/>
      </w:pPr>
      <w:r w:rsidRPr="00B34A31">
        <w:t xml:space="preserve">In reality, average LOS for EVT patients is approximately 6 to 8 days, meaning that reductions of this magnitude are not feasible in most cases. Even the Phase 2 data, which shows a reduction from approximately 10.8 days to 6.0 days (roughly 4 to 5 days), would only partially offset the cost at lower price </w:t>
      </w:r>
      <w:proofErr w:type="gramStart"/>
      <w:r w:rsidRPr="00B34A31">
        <w:t>points</w:t>
      </w:r>
      <w:r w:rsidRPr="00B34A31">
        <w:rPr>
          <w:rStyle w:val="apple-converted-space"/>
        </w:rPr>
        <w:t xml:space="preserve">  </w:t>
      </w:r>
      <w:r w:rsidRPr="00B34A31">
        <w:t>(</w:t>
      </w:r>
      <w:proofErr w:type="gramEnd"/>
      <w:r w:rsidRPr="00B34A31">
        <w:t>page 5).</w:t>
      </w:r>
    </w:p>
    <w:p w14:paraId="59784C4A" w14:textId="77777777" w:rsidR="0070161A" w:rsidRPr="00B34A31" w:rsidRDefault="0070161A" w:rsidP="0070161A">
      <w:pPr>
        <w:pStyle w:val="p1"/>
      </w:pPr>
      <w:r w:rsidRPr="00B34A31">
        <w:t xml:space="preserve">The implication is that </w:t>
      </w:r>
      <w:r w:rsidRPr="00B34A31">
        <w:rPr>
          <w:rStyle w:val="s2"/>
        </w:rPr>
        <w:t>Product X cannot be economically justified on LOS reduction alone within the DRG structure</w:t>
      </w:r>
      <w:r w:rsidRPr="00B34A31">
        <w:t>, particularly at higher price points. Instead, its value must be evaluated more holistically, including:</w:t>
      </w:r>
    </w:p>
    <w:p w14:paraId="7713A260" w14:textId="77777777" w:rsidR="0070161A" w:rsidRPr="00B34A31" w:rsidRDefault="0070161A" w:rsidP="0070161A">
      <w:pPr>
        <w:pStyle w:val="p1"/>
        <w:numPr>
          <w:ilvl w:val="0"/>
          <w:numId w:val="25"/>
        </w:numPr>
      </w:pPr>
      <w:r w:rsidRPr="00B34A31">
        <w:t>Reduced ICU utilization</w:t>
      </w:r>
    </w:p>
    <w:p w14:paraId="47492181" w14:textId="77777777" w:rsidR="0070161A" w:rsidRPr="00B34A31" w:rsidRDefault="0070161A" w:rsidP="0070161A">
      <w:pPr>
        <w:pStyle w:val="p1"/>
        <w:numPr>
          <w:ilvl w:val="0"/>
          <w:numId w:val="25"/>
        </w:numPr>
      </w:pPr>
      <w:r w:rsidRPr="00B34A31">
        <w:t>Improved discharge to home</w:t>
      </w:r>
    </w:p>
    <w:p w14:paraId="5B97299A" w14:textId="77777777" w:rsidR="0070161A" w:rsidRPr="00B34A31" w:rsidRDefault="0070161A" w:rsidP="0070161A">
      <w:pPr>
        <w:pStyle w:val="p1"/>
        <w:numPr>
          <w:ilvl w:val="0"/>
          <w:numId w:val="25"/>
        </w:numPr>
      </w:pPr>
      <w:r w:rsidRPr="00B34A31">
        <w:t>Lower post-acute care costs</w:t>
      </w:r>
    </w:p>
    <w:p w14:paraId="6A622C43" w14:textId="0B493E8A" w:rsidR="0070161A" w:rsidRPr="00B34A31" w:rsidRDefault="0070161A" w:rsidP="0070161A">
      <w:pPr>
        <w:pStyle w:val="p1"/>
        <w:numPr>
          <w:ilvl w:val="0"/>
          <w:numId w:val="25"/>
        </w:numPr>
      </w:pPr>
      <w:r w:rsidRPr="00B34A31">
        <w:t>Supplemental reimbursement (e.g., NTAP)</w:t>
      </w:r>
    </w:p>
    <w:p w14:paraId="5348F070" w14:textId="77777777" w:rsidR="0070161A" w:rsidRPr="00B34A31" w:rsidRDefault="0070161A" w:rsidP="0070161A">
      <w:pPr>
        <w:pStyle w:val="p1"/>
      </w:pPr>
      <w:r w:rsidRPr="00B34A31">
        <w:t xml:space="preserve">In summary, depending on price, Product X would need to reduce hospital stay by approximately </w:t>
      </w:r>
      <w:r w:rsidRPr="00B34A31">
        <w:rPr>
          <w:rStyle w:val="s2"/>
        </w:rPr>
        <w:t>5 to 25 days to fully offset DRG costs</w:t>
      </w:r>
      <w:r w:rsidRPr="00B34A31">
        <w:t>, which exceeds realistic clinical impact. Therefore, LOS reduction contributes meaningfully to value, but is insufficient on its own to close the economic gap without additional reimbursement support.</w:t>
      </w:r>
    </w:p>
    <w:p w14:paraId="3B502500" w14:textId="77777777" w:rsidR="0070161A" w:rsidRPr="009A53ED" w:rsidRDefault="0070161A" w:rsidP="0070161A">
      <w:pPr>
        <w:pBdr>
          <w:top w:val="nil"/>
          <w:left w:val="nil"/>
          <w:bottom w:val="nil"/>
          <w:right w:val="nil"/>
          <w:between w:val="nil"/>
        </w:pBdr>
        <w:spacing w:after="0"/>
        <w:rPr>
          <w:rFonts w:ascii="Times New Roman" w:eastAsia="Calibri" w:hAnsi="Times New Roman" w:cs="Times New Roman"/>
          <w:color w:val="000000" w:themeColor="text1"/>
          <w:lang w:val="en-US"/>
        </w:rPr>
      </w:pPr>
    </w:p>
    <w:p w14:paraId="5FBDD324" w14:textId="77777777" w:rsidR="005721E5" w:rsidRDefault="00134B51" w:rsidP="00FB3903">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bookmarkStart w:id="13" w:name="_Hlk225711368"/>
      <w:bookmarkEnd w:id="12"/>
      <w:r w:rsidRPr="009A53ED">
        <w:rPr>
          <w:rFonts w:ascii="Times New Roman" w:eastAsia="Calibri" w:hAnsi="Times New Roman" w:cs="Times New Roman"/>
          <w:color w:val="000000" w:themeColor="text1"/>
          <w:lang w:val="en-US"/>
        </w:rPr>
        <w:t xml:space="preserve">Considering the current average length of ICU stay, how many days would Product X need to decrease the length of ICU stay to offset the DRG costs? </w:t>
      </w:r>
    </w:p>
    <w:p w14:paraId="7A385FFE" w14:textId="742C202F" w:rsidR="00B34A31" w:rsidRPr="00B34A31" w:rsidRDefault="00B34A31" w:rsidP="00B34A31">
      <w:pPr>
        <w:pStyle w:val="p1"/>
      </w:pPr>
      <w:r w:rsidRPr="00B34A31">
        <w:t xml:space="preserve">To assess how many ICU days would need to be reduced to offset the cost of Product X, the same economic logic applies as with total hospital length of stay, but using </w:t>
      </w:r>
      <w:r w:rsidRPr="00B34A31">
        <w:rPr>
          <w:rStyle w:val="s1"/>
        </w:rPr>
        <w:t>ICU-specific daily costs</w:t>
      </w:r>
      <w:r w:rsidRPr="00B34A31">
        <w:t>, which are meaningfully higher.</w:t>
      </w:r>
      <w:r w:rsidRPr="00B34A31">
        <w:t xml:space="preserve"> </w:t>
      </w:r>
      <w:r w:rsidRPr="00B34A31">
        <w:t xml:space="preserve">In practice, ICU care typically costs approximately </w:t>
      </w:r>
      <w:r w:rsidRPr="00B34A31">
        <w:rPr>
          <w:rStyle w:val="s1"/>
        </w:rPr>
        <w:t>$3,000 to $5,000 per day</w:t>
      </w:r>
      <w:r w:rsidRPr="00B34A31">
        <w:t>, depending on acuity and hospital setting</w:t>
      </w:r>
      <w:r w:rsidRPr="00B34A31">
        <w:t xml:space="preserve">. </w:t>
      </w:r>
      <w:r w:rsidRPr="00B34A31">
        <w:t xml:space="preserve">Given that EVT patients generally spend </w:t>
      </w:r>
      <w:r w:rsidRPr="00B34A31">
        <w:rPr>
          <w:rStyle w:val="s1"/>
        </w:rPr>
        <w:t>~2 to 4 days in the ICU</w:t>
      </w:r>
      <w:r w:rsidRPr="00B34A31">
        <w:t>, this represents a high-cost portion of the episode, but one that is relatively limited in duration.</w:t>
      </w:r>
    </w:p>
    <w:p w14:paraId="5FC791FA" w14:textId="77777777" w:rsidR="00B34A31" w:rsidRPr="00B34A31" w:rsidRDefault="00B34A31" w:rsidP="00B34A31">
      <w:pPr>
        <w:pStyle w:val="p1"/>
      </w:pPr>
      <w:r w:rsidRPr="00B34A31">
        <w:t>Using that framework:</w:t>
      </w:r>
    </w:p>
    <w:p w14:paraId="063803A8" w14:textId="77777777" w:rsidR="00B34A31" w:rsidRPr="00B34A31" w:rsidRDefault="00B34A31" w:rsidP="00B34A31">
      <w:pPr>
        <w:pStyle w:val="p1"/>
        <w:numPr>
          <w:ilvl w:val="0"/>
          <w:numId w:val="26"/>
        </w:numPr>
      </w:pPr>
      <w:r w:rsidRPr="00B34A31">
        <w:t xml:space="preserve">At </w:t>
      </w:r>
      <w:r w:rsidRPr="00B34A31">
        <w:rPr>
          <w:rStyle w:val="s1"/>
        </w:rPr>
        <w:t>$15,000 per treatment</w:t>
      </w:r>
      <w:r w:rsidRPr="00B34A31">
        <w:t xml:space="preserve">, Product X would need to reduce ICU stay by approximately </w:t>
      </w:r>
      <w:r w:rsidRPr="00B34A31">
        <w:rPr>
          <w:rStyle w:val="s1"/>
        </w:rPr>
        <w:t>3 to 5 days</w:t>
      </w:r>
      <w:r w:rsidRPr="00B34A31">
        <w:t xml:space="preserve"> to fully offset its cost.</w:t>
      </w:r>
    </w:p>
    <w:p w14:paraId="2DF103B9" w14:textId="77777777" w:rsidR="00B34A31" w:rsidRPr="00B34A31" w:rsidRDefault="00B34A31" w:rsidP="00B34A31">
      <w:pPr>
        <w:pStyle w:val="p1"/>
        <w:numPr>
          <w:ilvl w:val="0"/>
          <w:numId w:val="26"/>
        </w:numPr>
      </w:pPr>
      <w:r w:rsidRPr="00B34A31">
        <w:t xml:space="preserve">At </w:t>
      </w:r>
      <w:r w:rsidRPr="00B34A31">
        <w:rPr>
          <w:rStyle w:val="s1"/>
        </w:rPr>
        <w:t>$25,000</w:t>
      </w:r>
      <w:r w:rsidRPr="00B34A31">
        <w:t xml:space="preserve">, this increases to approximately </w:t>
      </w:r>
      <w:r w:rsidRPr="00B34A31">
        <w:rPr>
          <w:rStyle w:val="s1"/>
        </w:rPr>
        <w:t>5 to 8 ICU days</w:t>
      </w:r>
      <w:r w:rsidRPr="00B34A31">
        <w:t>.</w:t>
      </w:r>
    </w:p>
    <w:p w14:paraId="122892D2" w14:textId="77777777" w:rsidR="00B34A31" w:rsidRPr="00B34A31" w:rsidRDefault="00B34A31" w:rsidP="00B34A31">
      <w:pPr>
        <w:pStyle w:val="p1"/>
        <w:numPr>
          <w:ilvl w:val="0"/>
          <w:numId w:val="26"/>
        </w:numPr>
      </w:pPr>
      <w:r w:rsidRPr="00B34A31">
        <w:t xml:space="preserve">At </w:t>
      </w:r>
      <w:r w:rsidRPr="00B34A31">
        <w:rPr>
          <w:rStyle w:val="s1"/>
        </w:rPr>
        <w:t>$35,000</w:t>
      </w:r>
      <w:r w:rsidRPr="00B34A31">
        <w:t xml:space="preserve">, approximately </w:t>
      </w:r>
      <w:r w:rsidRPr="00B34A31">
        <w:rPr>
          <w:rStyle w:val="s1"/>
        </w:rPr>
        <w:t>7 to 12 ICU days</w:t>
      </w:r>
      <w:r w:rsidRPr="00B34A31">
        <w:t xml:space="preserve"> would be required.</w:t>
      </w:r>
    </w:p>
    <w:p w14:paraId="2EFCB231" w14:textId="14676CF7" w:rsidR="00B34A31" w:rsidRPr="00B34A31" w:rsidRDefault="00B34A31" w:rsidP="00B34A31">
      <w:pPr>
        <w:pStyle w:val="p1"/>
        <w:numPr>
          <w:ilvl w:val="0"/>
          <w:numId w:val="26"/>
        </w:numPr>
      </w:pPr>
      <w:r w:rsidRPr="00B34A31">
        <w:t xml:space="preserve">At </w:t>
      </w:r>
      <w:r w:rsidRPr="00B34A31">
        <w:rPr>
          <w:rStyle w:val="s1"/>
        </w:rPr>
        <w:t>$50,000</w:t>
      </w:r>
      <w:r w:rsidRPr="00B34A31">
        <w:t xml:space="preserve">, the required reduction would exceed </w:t>
      </w:r>
      <w:r w:rsidRPr="00B34A31">
        <w:rPr>
          <w:rStyle w:val="s1"/>
        </w:rPr>
        <w:t>10 to 16 ICU days</w:t>
      </w:r>
      <w:r w:rsidRPr="00B34A31">
        <w:t>.</w:t>
      </w:r>
    </w:p>
    <w:p w14:paraId="30AD2A1B" w14:textId="5ECBFBAC" w:rsidR="00B34A31" w:rsidRPr="00B34A31" w:rsidRDefault="00B34A31" w:rsidP="00B34A31">
      <w:pPr>
        <w:pStyle w:val="p1"/>
      </w:pPr>
      <w:r w:rsidRPr="00B34A31">
        <w:t xml:space="preserve">When compared to real-world ICU utilization, these reductions are not feasible. Most EVT patients only spend a few days in the ICU to begin with, meaning there is a natural ceiling on how much ICU time can be reduced. Even if Product X accelerates neurologic stabilization and allows earlier transfer out of the ICU, the realistic reduction is likely on the order of </w:t>
      </w:r>
      <w:r w:rsidRPr="00B34A31">
        <w:rPr>
          <w:rStyle w:val="s1"/>
        </w:rPr>
        <w:t>1 to 2 days</w:t>
      </w:r>
      <w:r w:rsidRPr="00B34A31">
        <w:t>, embedded within the broader reduction in total hospital stay.</w:t>
      </w:r>
    </w:p>
    <w:p w14:paraId="5910B389" w14:textId="5282DB50" w:rsidR="00B34A31" w:rsidRPr="00B34A31" w:rsidRDefault="00B34A31" w:rsidP="00B34A31">
      <w:pPr>
        <w:pStyle w:val="p1"/>
      </w:pPr>
      <w:r w:rsidRPr="00B34A31">
        <w:t xml:space="preserve">The Phase 2 data </w:t>
      </w:r>
      <w:proofErr w:type="gramStart"/>
      <w:r w:rsidRPr="00B34A31">
        <w:t>supports</w:t>
      </w:r>
      <w:proofErr w:type="gramEnd"/>
      <w:r w:rsidRPr="00B34A31">
        <w:t xml:space="preserve"> this interpretation. While ICU-specific reductions are not explicitly broken out, the overall reduction in hospital stay from approximately 10.8 to 6.0 days suggests that ICU time is reduced as part of that broader improvement in recovery </w:t>
      </w:r>
      <w:proofErr w:type="gramStart"/>
      <w:r w:rsidRPr="00B34A31">
        <w:t>trajectory</w:t>
      </w:r>
      <w:r w:rsidRPr="00B34A31">
        <w:rPr>
          <w:rStyle w:val="apple-converted-space"/>
          <w:rFonts w:eastAsiaTheme="majorEastAsia"/>
        </w:rPr>
        <w:t xml:space="preserve">  </w:t>
      </w:r>
      <w:r w:rsidRPr="00B34A31">
        <w:t>(</w:t>
      </w:r>
      <w:proofErr w:type="gramEnd"/>
      <w:r w:rsidRPr="00B34A31">
        <w:t>page 5).</w:t>
      </w:r>
    </w:p>
    <w:p w14:paraId="70C46E4D" w14:textId="77777777" w:rsidR="00B34A31" w:rsidRPr="00B34A31" w:rsidRDefault="00B34A31" w:rsidP="00B34A31">
      <w:pPr>
        <w:pStyle w:val="p1"/>
      </w:pPr>
      <w:r w:rsidRPr="00B34A31">
        <w:t xml:space="preserve">The key implication is that, similar to total LOS, </w:t>
      </w:r>
      <w:proofErr w:type="gramStart"/>
      <w:r w:rsidRPr="00B34A31">
        <w:rPr>
          <w:rStyle w:val="s1"/>
        </w:rPr>
        <w:t>ICU day</w:t>
      </w:r>
      <w:proofErr w:type="gramEnd"/>
      <w:r w:rsidRPr="00B34A31">
        <w:rPr>
          <w:rStyle w:val="s1"/>
        </w:rPr>
        <w:t xml:space="preserve"> reduction alone is insufficient to offset the cost of Product X under the DRG</w:t>
      </w:r>
      <w:r w:rsidRPr="00B34A31">
        <w:t>, particularly at higher price points. ICU savings contribute to the value equation, but do not independently justify the therapy. The economic case must therefore rely on a combination of:</w:t>
      </w:r>
    </w:p>
    <w:p w14:paraId="3AC87084" w14:textId="77777777" w:rsidR="00B34A31" w:rsidRPr="00B34A31" w:rsidRDefault="00B34A31" w:rsidP="00B34A31">
      <w:pPr>
        <w:pStyle w:val="p1"/>
        <w:numPr>
          <w:ilvl w:val="0"/>
          <w:numId w:val="27"/>
        </w:numPr>
      </w:pPr>
      <w:r w:rsidRPr="00B34A31">
        <w:t>Total LOS reduction</w:t>
      </w:r>
    </w:p>
    <w:p w14:paraId="36914B0D" w14:textId="77777777" w:rsidR="00B34A31" w:rsidRPr="00B34A31" w:rsidRDefault="00B34A31" w:rsidP="00B34A31">
      <w:pPr>
        <w:pStyle w:val="p1"/>
        <w:numPr>
          <w:ilvl w:val="0"/>
          <w:numId w:val="27"/>
        </w:numPr>
      </w:pPr>
      <w:r w:rsidRPr="00B34A31">
        <w:t>Improved discharge disposition (home vs facility)</w:t>
      </w:r>
    </w:p>
    <w:p w14:paraId="7EF8F60E" w14:textId="77777777" w:rsidR="00B34A31" w:rsidRPr="00B34A31" w:rsidRDefault="00B34A31" w:rsidP="00B34A31">
      <w:pPr>
        <w:pStyle w:val="p1"/>
        <w:numPr>
          <w:ilvl w:val="0"/>
          <w:numId w:val="27"/>
        </w:numPr>
      </w:pPr>
      <w:r w:rsidRPr="00B34A31">
        <w:t>Reduced downstream costs</w:t>
      </w:r>
    </w:p>
    <w:p w14:paraId="34673A64" w14:textId="44F4B4E2" w:rsidR="00B34A31" w:rsidRPr="00B34A31" w:rsidRDefault="00B34A31" w:rsidP="00B34A31">
      <w:pPr>
        <w:pStyle w:val="p1"/>
        <w:numPr>
          <w:ilvl w:val="0"/>
          <w:numId w:val="27"/>
        </w:numPr>
      </w:pPr>
      <w:r w:rsidRPr="00B34A31">
        <w:t>Supplemental reimbursement (e.g., NTAP)</w:t>
      </w:r>
    </w:p>
    <w:p w14:paraId="46450BAC" w14:textId="2EE29E30" w:rsidR="00FB3903" w:rsidRPr="00650F54" w:rsidRDefault="00B34A31" w:rsidP="00650F54">
      <w:pPr>
        <w:pStyle w:val="p1"/>
      </w:pPr>
      <w:r w:rsidRPr="00B34A31">
        <w:t xml:space="preserve">In summary, Product X would need to reduce ICU stay by approximately </w:t>
      </w:r>
      <w:r w:rsidRPr="00B34A31">
        <w:rPr>
          <w:rStyle w:val="s1"/>
        </w:rPr>
        <w:t>3 to 16 days depending on price to fully offset DRG costs</w:t>
      </w:r>
      <w:r w:rsidRPr="00B34A31">
        <w:t xml:space="preserve">, which exceeds the clinically realistic range. Therefore, </w:t>
      </w:r>
      <w:proofErr w:type="gramStart"/>
      <w:r w:rsidRPr="00B34A31">
        <w:t>ICU day</w:t>
      </w:r>
      <w:proofErr w:type="gramEnd"/>
      <w:r w:rsidRPr="00B34A31">
        <w:t xml:space="preserve"> reduction is a meaningful but partial contributor to overall economic value.</w:t>
      </w:r>
      <w:bookmarkEnd w:id="13"/>
    </w:p>
    <w:bookmarkEnd w:id="9"/>
    <w:p w14:paraId="686DE526" w14:textId="609E5227" w:rsidR="005721E5" w:rsidRPr="009A53ED" w:rsidRDefault="00134B51">
      <w:pPr>
        <w:pStyle w:val="Heading2"/>
        <w:rPr>
          <w:rFonts w:ascii="Times New Roman" w:hAnsi="Times New Roman" w:cs="Times New Roman"/>
          <w:b w:val="0"/>
          <w:bCs w:val="0"/>
          <w:color w:val="000000" w:themeColor="text1"/>
        </w:rPr>
      </w:pPr>
      <w:r w:rsidRPr="009A53ED">
        <w:rPr>
          <w:rFonts w:ascii="Times New Roman" w:hAnsi="Times New Roman" w:cs="Times New Roman"/>
          <w:b w:val="0"/>
          <w:bCs w:val="0"/>
          <w:color w:val="000000" w:themeColor="text1"/>
        </w:rPr>
        <w:t>Section IV</w:t>
      </w:r>
      <w:r w:rsidR="00FB3903" w:rsidRPr="009A53ED">
        <w:rPr>
          <w:rFonts w:ascii="Times New Roman" w:hAnsi="Times New Roman" w:cs="Times New Roman"/>
          <w:b w:val="0"/>
          <w:bCs w:val="0"/>
          <w:color w:val="000000" w:themeColor="text1"/>
        </w:rPr>
        <w:t>:</w:t>
      </w:r>
      <w:r w:rsidRPr="009A53ED">
        <w:rPr>
          <w:rFonts w:ascii="Times New Roman" w:hAnsi="Times New Roman" w:cs="Times New Roman"/>
          <w:b w:val="0"/>
          <w:bCs w:val="0"/>
          <w:color w:val="000000" w:themeColor="text1"/>
        </w:rPr>
        <w:t xml:space="preserve"> </w:t>
      </w:r>
      <w:r w:rsidR="000B48C0" w:rsidRPr="009A53ED">
        <w:rPr>
          <w:rFonts w:ascii="Times New Roman" w:hAnsi="Times New Roman" w:cs="Times New Roman"/>
          <w:b w:val="0"/>
          <w:bCs w:val="0"/>
          <w:color w:val="000000" w:themeColor="text1"/>
        </w:rPr>
        <w:t>DRG Evaluation</w:t>
      </w:r>
      <w:r w:rsidR="00E5054C" w:rsidRPr="009A53ED">
        <w:rPr>
          <w:rFonts w:ascii="Times New Roman" w:hAnsi="Times New Roman" w:cs="Times New Roman"/>
          <w:b w:val="0"/>
          <w:bCs w:val="0"/>
          <w:color w:val="000000" w:themeColor="text1"/>
        </w:rPr>
        <w:t xml:space="preserve"> </w:t>
      </w:r>
    </w:p>
    <w:p w14:paraId="5AFCBEAA" w14:textId="60AC93A8" w:rsidR="005721E5" w:rsidRDefault="00134B51" w:rsidP="00CC1AA9">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bookmarkStart w:id="14" w:name="_Hlk225712522"/>
      <w:r w:rsidRPr="009A53ED">
        <w:rPr>
          <w:rFonts w:ascii="Times New Roman" w:eastAsia="Calibri" w:hAnsi="Times New Roman" w:cs="Times New Roman"/>
          <w:color w:val="000000" w:themeColor="text1"/>
          <w:lang w:val="en-US"/>
        </w:rPr>
        <w:t>Considering the DRGs currently billed, how would you consider the reimbursement of Product X in the DRG?</w:t>
      </w:r>
    </w:p>
    <w:p w14:paraId="0185A419" w14:textId="01DFC9AD" w:rsidR="00396D89" w:rsidRPr="00396D89" w:rsidRDefault="00396D89" w:rsidP="00396D89">
      <w:pPr>
        <w:pStyle w:val="p1"/>
      </w:pPr>
      <w:r w:rsidRPr="00396D89">
        <w:t xml:space="preserve">Considering the DRGs currently billed for LVO stroke with EVT, Product X would initially be </w:t>
      </w:r>
      <w:r w:rsidRPr="00396D89">
        <w:rPr>
          <w:rStyle w:val="s1"/>
        </w:rPr>
        <w:t>fully bundled into the existing DRG payment and not separately reimbursed</w:t>
      </w:r>
      <w:r w:rsidRPr="00396D89">
        <w:t>, which creates immediate economic pressure on hospitals.</w:t>
      </w:r>
    </w:p>
    <w:p w14:paraId="17EFBA4D" w14:textId="0148A0FB" w:rsidR="00396D89" w:rsidRPr="00396D89" w:rsidRDefault="00396D89" w:rsidP="00396D89">
      <w:pPr>
        <w:pStyle w:val="p1"/>
      </w:pPr>
      <w:r w:rsidRPr="00396D89">
        <w:t xml:space="preserve">Today, EVT cases are typically reimbursed under </w:t>
      </w:r>
      <w:r w:rsidRPr="00396D89">
        <w:rPr>
          <w:rStyle w:val="s1"/>
        </w:rPr>
        <w:t>MS-DRG 023 and 024</w:t>
      </w:r>
      <w:r w:rsidRPr="00396D89">
        <w:t xml:space="preserve">, with payments in the range of approximately $25,000 to $50,000 depending on </w:t>
      </w:r>
      <w:proofErr w:type="gramStart"/>
      <w:r w:rsidRPr="00396D89">
        <w:t>severity</w:t>
      </w:r>
      <w:r w:rsidRPr="00396D89">
        <w:rPr>
          <w:rStyle w:val="apple-converted-space"/>
        </w:rPr>
        <w:t xml:space="preserve">  </w:t>
      </w:r>
      <w:r w:rsidRPr="00396D89">
        <w:t>(</w:t>
      </w:r>
      <w:proofErr w:type="gramEnd"/>
      <w:r w:rsidRPr="00396D89">
        <w:t xml:space="preserve">page 12). These DRGs are calibrated to reflect the current standard of care, which does not include a high-cost, continuous infusion therapy post-EVT. As a result, any new therapy like Product X is, by default, </w:t>
      </w:r>
      <w:r w:rsidRPr="00396D89">
        <w:rPr>
          <w:rStyle w:val="s1"/>
        </w:rPr>
        <w:t>absorbed within that fixed payment</w:t>
      </w:r>
      <w:r w:rsidRPr="00396D89">
        <w:t>.</w:t>
      </w:r>
    </w:p>
    <w:p w14:paraId="18770C9C" w14:textId="5A547A53" w:rsidR="00396D89" w:rsidRPr="00396D89" w:rsidRDefault="00396D89" w:rsidP="00396D89">
      <w:pPr>
        <w:pStyle w:val="p1"/>
      </w:pPr>
      <w:r w:rsidRPr="00396D89">
        <w:t xml:space="preserve">At launch, absent NTAP, Product X would therefore be treated as a </w:t>
      </w:r>
      <w:r w:rsidRPr="00396D89">
        <w:rPr>
          <w:rStyle w:val="s1"/>
        </w:rPr>
        <w:t>cost center within the DRG</w:t>
      </w:r>
      <w:r w:rsidRPr="00396D89">
        <w:t>. The hospital would purchase and administer the drug, but receive no incremental reimbursement. This creates a negative margin unless the cost can be offset through reduced resource utilization, such as shorter length of stay or fewer complications. Based on the available data, those offsets are meaningful but not sufficient to fully absorb the cost at higher price points.</w:t>
      </w:r>
    </w:p>
    <w:p w14:paraId="5FF8ADC9" w14:textId="75E5BB61" w:rsidR="00396D89" w:rsidRPr="00396D89" w:rsidRDefault="00396D89" w:rsidP="00396D89">
      <w:pPr>
        <w:pStyle w:val="p1"/>
      </w:pPr>
      <w:r w:rsidRPr="00396D89">
        <w:t>From a payer perspective, there is no immediate change in reimbursement. The payer continues to pay the DRG rate, and the presence of Product X does not increase the payment unless a supplemental mechanism is triggered. This is a key dynamic, the financial risk sits primarily with the hospital, not the payer, in the initial phase.</w:t>
      </w:r>
    </w:p>
    <w:p w14:paraId="6113E543" w14:textId="0952614B" w:rsidR="00396D89" w:rsidRPr="00396D89" w:rsidRDefault="00396D89" w:rsidP="00396D89">
      <w:pPr>
        <w:pStyle w:val="p1"/>
      </w:pPr>
      <w:r w:rsidRPr="00396D89">
        <w:t xml:space="preserve">Over time, the expected pathway is that Product X would be supported through </w:t>
      </w:r>
      <w:r w:rsidRPr="00396D89">
        <w:rPr>
          <w:rStyle w:val="s1"/>
        </w:rPr>
        <w:t>NTAP as a bridge mechanism</w:t>
      </w:r>
      <w:r w:rsidRPr="00396D89">
        <w:t xml:space="preserve">, followed by a </w:t>
      </w:r>
      <w:r w:rsidRPr="00396D89">
        <w:rPr>
          <w:rStyle w:val="s1"/>
        </w:rPr>
        <w:t>DRG recalibration</w:t>
      </w:r>
      <w:r w:rsidRPr="00396D89">
        <w:t xml:space="preserve">. The materials explicitly outline this pathway, with NTAP providing incremental reimbursement for 2–3 years and then informing either a DRG reweighting or potential DRG split based on real-world cost and utilization </w:t>
      </w:r>
      <w:proofErr w:type="gramStart"/>
      <w:r w:rsidRPr="00396D89">
        <w:t>data</w:t>
      </w:r>
      <w:r w:rsidRPr="00396D89">
        <w:rPr>
          <w:rStyle w:val="apple-converted-space"/>
        </w:rPr>
        <w:t xml:space="preserve">  </w:t>
      </w:r>
      <w:r w:rsidRPr="00396D89">
        <w:t>(</w:t>
      </w:r>
      <w:proofErr w:type="gramEnd"/>
      <w:r w:rsidRPr="00396D89">
        <w:t>pages 11–12).</w:t>
      </w:r>
    </w:p>
    <w:p w14:paraId="534F2BF5" w14:textId="77777777" w:rsidR="00396D89" w:rsidRPr="00396D89" w:rsidRDefault="00396D89" w:rsidP="00396D89">
      <w:pPr>
        <w:pStyle w:val="p1"/>
      </w:pPr>
      <w:r w:rsidRPr="00396D89">
        <w:t xml:space="preserve">In summary, within the current DRG structure, Product X would initially be </w:t>
      </w:r>
      <w:r w:rsidRPr="00396D89">
        <w:rPr>
          <w:rStyle w:val="s1"/>
        </w:rPr>
        <w:t>under-reimbursed and financially misaligned with hospital economics</w:t>
      </w:r>
      <w:r w:rsidRPr="00396D89">
        <w:t>, as it is not reflected in the DRG weights. Adequate reimbursement would depend on securing NTAP in the near term and achieving DRG adjustment in the longer term to reflect its inclusion in standard care.</w:t>
      </w:r>
    </w:p>
    <w:p w14:paraId="125F9830" w14:textId="77777777" w:rsidR="00396D89" w:rsidRPr="009A53ED"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68402FC3" w14:textId="77777777" w:rsidR="00D8705C" w:rsidRPr="009A53ED" w:rsidRDefault="00D8705C" w:rsidP="00D8705C">
      <w:pPr>
        <w:pBdr>
          <w:top w:val="nil"/>
          <w:left w:val="nil"/>
          <w:bottom w:val="nil"/>
          <w:right w:val="nil"/>
          <w:between w:val="nil"/>
        </w:pBdr>
        <w:spacing w:after="0"/>
        <w:ind w:left="720"/>
        <w:rPr>
          <w:rFonts w:ascii="Times New Roman" w:eastAsia="Calibri" w:hAnsi="Times New Roman" w:cs="Times New Roman"/>
          <w:color w:val="000000" w:themeColor="text1"/>
          <w:lang w:val="en-US"/>
        </w:rPr>
      </w:pPr>
      <w:bookmarkStart w:id="15" w:name="_Hlk225712620"/>
      <w:bookmarkEnd w:id="14"/>
    </w:p>
    <w:p w14:paraId="1E793A32" w14:textId="03E1EB43" w:rsidR="003E7896" w:rsidRPr="009A53ED" w:rsidRDefault="00134B51" w:rsidP="003E7896">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lang w:val="en-US"/>
        </w:rPr>
        <w:t xml:space="preserve">Would you anticipate Product X to drive a new DRG/ DRG update? </w:t>
      </w:r>
    </w:p>
    <w:p w14:paraId="35C132B6" w14:textId="287FC74B" w:rsidR="005721E5" w:rsidRDefault="00134B51" w:rsidP="003E7896">
      <w:pPr>
        <w:numPr>
          <w:ilvl w:val="1"/>
          <w:numId w:val="1"/>
        </w:numPr>
        <w:pBdr>
          <w:top w:val="nil"/>
          <w:left w:val="nil"/>
          <w:bottom w:val="nil"/>
          <w:right w:val="nil"/>
          <w:between w:val="nil"/>
        </w:pBdr>
        <w:spacing w:after="0"/>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lang w:val="en-US"/>
        </w:rPr>
        <w:t>How would payers allow you to bill for Product X in addition to the DRGs? Are there extra payment schemes? Cash-pay?</w:t>
      </w:r>
    </w:p>
    <w:p w14:paraId="62C93693" w14:textId="77F483D7" w:rsidR="00396D89" w:rsidRDefault="00396D89" w:rsidP="00396D89">
      <w:pPr>
        <w:pStyle w:val="p1"/>
      </w:pPr>
      <w:r>
        <w:t xml:space="preserve">It is unlikely that Product X would immediately drive the creation of a </w:t>
      </w:r>
      <w:r>
        <w:rPr>
          <w:rStyle w:val="s1"/>
          <w:b/>
          <w:bCs/>
        </w:rPr>
        <w:t>new DRG</w:t>
      </w:r>
      <w:r>
        <w:t xml:space="preserve">, but it is reasonable to expect that it could lead to a </w:t>
      </w:r>
      <w:r>
        <w:rPr>
          <w:rStyle w:val="s1"/>
          <w:b/>
          <w:bCs/>
        </w:rPr>
        <w:t>DRG update over time</w:t>
      </w:r>
      <w:r>
        <w:t>, following the standard CMS pathway for new inpatient technologies.</w:t>
      </w:r>
    </w:p>
    <w:p w14:paraId="5C3F96B1" w14:textId="77777777" w:rsidR="00396D89" w:rsidRDefault="00396D89" w:rsidP="00396D89">
      <w:pPr>
        <w:pStyle w:val="p1"/>
      </w:pPr>
      <w:r>
        <w:t>In practice, CMS does not typically create entirely new DRGs at launch for a single therapy. Instead, the more common pathway is:</w:t>
      </w:r>
    </w:p>
    <w:p w14:paraId="0E84F6B8" w14:textId="77777777" w:rsidR="00396D89" w:rsidRDefault="00396D89" w:rsidP="00396D89">
      <w:pPr>
        <w:pStyle w:val="p1"/>
        <w:numPr>
          <w:ilvl w:val="0"/>
          <w:numId w:val="28"/>
        </w:numPr>
      </w:pPr>
      <w:r>
        <w:t>Initial inclusion within an existing DRG (in this case, MS-DRG 023 or 024 for EVT cases)</w:t>
      </w:r>
    </w:p>
    <w:p w14:paraId="1DF9B255" w14:textId="77777777" w:rsidR="00396D89" w:rsidRDefault="00396D89" w:rsidP="00396D89">
      <w:pPr>
        <w:pStyle w:val="p1"/>
        <w:numPr>
          <w:ilvl w:val="0"/>
          <w:numId w:val="28"/>
        </w:numPr>
      </w:pPr>
      <w:r>
        <w:t>Temporary supplemental reimbursement through NTAP</w:t>
      </w:r>
    </w:p>
    <w:p w14:paraId="6DC474CF" w14:textId="4E4CEB87" w:rsidR="00396D89" w:rsidRDefault="00396D89" w:rsidP="00396D89">
      <w:pPr>
        <w:pStyle w:val="p1"/>
        <w:numPr>
          <w:ilvl w:val="0"/>
          <w:numId w:val="28"/>
        </w:numPr>
      </w:pPr>
      <w:r>
        <w:t xml:space="preserve">Subsequent </w:t>
      </w:r>
      <w:r>
        <w:rPr>
          <w:rStyle w:val="s1"/>
          <w:b/>
          <w:bCs/>
        </w:rPr>
        <w:t>DRG recalibration</w:t>
      </w:r>
      <w:r>
        <w:t>, either through reweighting or a DRG split, once sufficient utilization and cost data are available</w:t>
      </w:r>
    </w:p>
    <w:p w14:paraId="44FDC5B8" w14:textId="2FF066FF" w:rsidR="00396D89" w:rsidRDefault="00396D89" w:rsidP="00396D89">
      <w:pPr>
        <w:pStyle w:val="p1"/>
      </w:pPr>
      <w:r>
        <w:t xml:space="preserve">This pathway is explicitly reflected in the materials, which outline NTAP followed by either a DRG split or permanent reweighting based on real-world </w:t>
      </w:r>
      <w:proofErr w:type="gramStart"/>
      <w:r>
        <w:t>data</w:t>
      </w:r>
      <w:r>
        <w:rPr>
          <w:rStyle w:val="apple-converted-space"/>
        </w:rPr>
        <w:t xml:space="preserve">  </w:t>
      </w:r>
      <w:r>
        <w:t>(</w:t>
      </w:r>
      <w:proofErr w:type="gramEnd"/>
      <w:r>
        <w:t>pages 11–12).</w:t>
      </w:r>
    </w:p>
    <w:p w14:paraId="56970C4B" w14:textId="77777777" w:rsidR="00396D89" w:rsidRDefault="00396D89" w:rsidP="00396D89">
      <w:pPr>
        <w:pStyle w:val="p1"/>
      </w:pPr>
      <w:r>
        <w:t>The rationale is that CMS requires evidence that:</w:t>
      </w:r>
    </w:p>
    <w:p w14:paraId="7BBF7B06" w14:textId="77777777" w:rsidR="00396D89" w:rsidRDefault="00396D89" w:rsidP="00396D89">
      <w:pPr>
        <w:pStyle w:val="p1"/>
        <w:numPr>
          <w:ilvl w:val="0"/>
          <w:numId w:val="29"/>
        </w:numPr>
      </w:pPr>
      <w:r>
        <w:rPr>
          <w:rStyle w:val="s1"/>
        </w:rPr>
        <w:t xml:space="preserve">The therapy is </w:t>
      </w:r>
      <w:r>
        <w:rPr>
          <w:b/>
          <w:bCs/>
        </w:rPr>
        <w:t>widely adopted and consistently used</w:t>
      </w:r>
    </w:p>
    <w:p w14:paraId="7BDF96F4" w14:textId="77777777" w:rsidR="00396D89" w:rsidRDefault="00396D89" w:rsidP="00396D89">
      <w:pPr>
        <w:pStyle w:val="p1"/>
        <w:numPr>
          <w:ilvl w:val="0"/>
          <w:numId w:val="29"/>
        </w:numPr>
      </w:pPr>
      <w:r>
        <w:rPr>
          <w:rStyle w:val="s1"/>
        </w:rPr>
        <w:t xml:space="preserve">It </w:t>
      </w:r>
      <w:r>
        <w:rPr>
          <w:b/>
          <w:bCs/>
        </w:rPr>
        <w:t>materially changes the cost structure</w:t>
      </w:r>
      <w:r>
        <w:rPr>
          <w:rStyle w:val="s1"/>
        </w:rPr>
        <w:t xml:space="preserve"> of the episode</w:t>
      </w:r>
    </w:p>
    <w:p w14:paraId="138EE09A" w14:textId="3A963808" w:rsidR="00396D89" w:rsidRDefault="00396D89" w:rsidP="00396D89">
      <w:pPr>
        <w:pStyle w:val="p1"/>
        <w:numPr>
          <w:ilvl w:val="0"/>
          <w:numId w:val="29"/>
        </w:numPr>
      </w:pPr>
      <w:r>
        <w:t xml:space="preserve">It represents a </w:t>
      </w:r>
      <w:r>
        <w:rPr>
          <w:rStyle w:val="s1"/>
          <w:b/>
          <w:bCs/>
        </w:rPr>
        <w:t>distinct clinical subgroup</w:t>
      </w:r>
      <w:r>
        <w:t xml:space="preserve"> if a split is considered</w:t>
      </w:r>
    </w:p>
    <w:p w14:paraId="3DAFC658" w14:textId="35AF9E19" w:rsidR="00396D89" w:rsidRDefault="00396D89" w:rsidP="00396D89">
      <w:pPr>
        <w:pStyle w:val="p1"/>
        <w:rPr>
          <w:rStyle w:val="s2"/>
        </w:rPr>
      </w:pPr>
      <w:r>
        <w:t xml:space="preserve">Given Product X’s profile, particularly as a post-EVT adjunct therapy, it is more likely to drive a </w:t>
      </w:r>
      <w:r>
        <w:rPr>
          <w:rStyle w:val="s1"/>
          <w:b/>
          <w:bCs/>
        </w:rPr>
        <w:t>reweighting of existing stroke DRGs</w:t>
      </w:r>
      <w:r>
        <w:t xml:space="preserve"> or potentially a </w:t>
      </w:r>
      <w:r>
        <w:rPr>
          <w:rStyle w:val="s1"/>
          <w:b/>
          <w:bCs/>
        </w:rPr>
        <w:t>procedure-based distinction tied to infusion use</w:t>
      </w:r>
      <w:r>
        <w:t>, rather than a completely new DRG category.</w:t>
      </w:r>
    </w:p>
    <w:p w14:paraId="4149B94D" w14:textId="35146205" w:rsidR="00396D89" w:rsidRPr="00396D89" w:rsidRDefault="00396D89" w:rsidP="00396D89">
      <w:pPr>
        <w:pStyle w:val="Heading3"/>
        <w:rPr>
          <w:color w:val="000000" w:themeColor="text1"/>
        </w:rPr>
      </w:pPr>
      <w:r w:rsidRPr="00396D89">
        <w:rPr>
          <w:color w:val="000000" w:themeColor="text1"/>
        </w:rPr>
        <w:t>How payers would allow billing in addition to DRGs</w:t>
      </w:r>
    </w:p>
    <w:p w14:paraId="46C4512B" w14:textId="51C2B130" w:rsidR="00396D89" w:rsidRDefault="00396D89" w:rsidP="00396D89">
      <w:pPr>
        <w:pStyle w:val="p1"/>
      </w:pPr>
      <w:r>
        <w:t xml:space="preserve">At launch, there is </w:t>
      </w:r>
      <w:r>
        <w:rPr>
          <w:rStyle w:val="s1"/>
          <w:b/>
          <w:bCs/>
        </w:rPr>
        <w:t>no standard mechanism to bill separately for Product X outside the DRG</w:t>
      </w:r>
      <w:r>
        <w:t>, which is a core constraint of the inpatient payment system. However, there are limited and well-defined pathways for incremental reimbursement:</w:t>
      </w:r>
    </w:p>
    <w:p w14:paraId="746ABFCD" w14:textId="77777777" w:rsidR="00396D89" w:rsidRDefault="00396D89" w:rsidP="00396D89">
      <w:pPr>
        <w:pStyle w:val="p4"/>
      </w:pPr>
      <w:r>
        <w:rPr>
          <w:b/>
          <w:bCs/>
        </w:rPr>
        <w:t>1. NTAP (Primary pathway)</w:t>
      </w:r>
    </w:p>
    <w:p w14:paraId="2CCD08CF" w14:textId="4B4FDC49" w:rsidR="00396D89" w:rsidRDefault="00396D89" w:rsidP="00396D89">
      <w:pPr>
        <w:pStyle w:val="p1"/>
      </w:pPr>
      <w:r>
        <w:t xml:space="preserve">This is the most important mechanism. NTAP allows hospitals to receive </w:t>
      </w:r>
      <w:r>
        <w:rPr>
          <w:rStyle w:val="s1"/>
          <w:b/>
          <w:bCs/>
        </w:rPr>
        <w:t>additional payment on top of the DRG</w:t>
      </w:r>
      <w:r>
        <w:t xml:space="preserve">, typically covering up to ~65% of the cost of the new technology. The materials highlight that the 48-hour infusion structure helps create a clear procedural and cost signal, which supports NTAP </w:t>
      </w:r>
      <w:proofErr w:type="gramStart"/>
      <w:r>
        <w:t>eligibility</w:t>
      </w:r>
      <w:r>
        <w:rPr>
          <w:rStyle w:val="apple-converted-space"/>
        </w:rPr>
        <w:t xml:space="preserve">  </w:t>
      </w:r>
      <w:r>
        <w:t>(</w:t>
      </w:r>
      <w:proofErr w:type="gramEnd"/>
      <w:r>
        <w:t>page 13).</w:t>
      </w:r>
    </w:p>
    <w:p w14:paraId="50D7B9C6" w14:textId="77777777" w:rsidR="00396D89" w:rsidRDefault="00396D89" w:rsidP="00396D89">
      <w:pPr>
        <w:pStyle w:val="p4"/>
      </w:pPr>
      <w:r>
        <w:rPr>
          <w:b/>
          <w:bCs/>
        </w:rPr>
        <w:t>2. Outlier payments (secondary, limited)</w:t>
      </w:r>
    </w:p>
    <w:p w14:paraId="7EFED331" w14:textId="77777777" w:rsidR="00396D89" w:rsidRDefault="00396D89" w:rsidP="00396D89">
      <w:pPr>
        <w:pStyle w:val="p1"/>
      </w:pPr>
      <w:r>
        <w:t>In very high-cost cases, hospitals may qualify for outlier payments. However, this is:</w:t>
      </w:r>
    </w:p>
    <w:p w14:paraId="10F8FF15" w14:textId="77777777" w:rsidR="00396D89" w:rsidRDefault="00396D89" w:rsidP="00396D89">
      <w:pPr>
        <w:pStyle w:val="p1"/>
        <w:numPr>
          <w:ilvl w:val="0"/>
          <w:numId w:val="30"/>
        </w:numPr>
      </w:pPr>
      <w:r>
        <w:t>Case-specific</w:t>
      </w:r>
    </w:p>
    <w:p w14:paraId="3B5E7AE8" w14:textId="77777777" w:rsidR="00396D89" w:rsidRDefault="00396D89" w:rsidP="00396D89">
      <w:pPr>
        <w:pStyle w:val="p1"/>
        <w:numPr>
          <w:ilvl w:val="0"/>
          <w:numId w:val="30"/>
        </w:numPr>
      </w:pPr>
      <w:r>
        <w:t>Unpredictable</w:t>
      </w:r>
    </w:p>
    <w:p w14:paraId="6F624ED2" w14:textId="23FD6672" w:rsidR="00396D89" w:rsidRDefault="00396D89" w:rsidP="00396D89">
      <w:pPr>
        <w:pStyle w:val="p1"/>
        <w:numPr>
          <w:ilvl w:val="0"/>
          <w:numId w:val="30"/>
        </w:numPr>
      </w:pPr>
      <w:r>
        <w:t>Not a reliable or scalable reimbursement strategy</w:t>
      </w:r>
    </w:p>
    <w:p w14:paraId="2976BCE3" w14:textId="77777777" w:rsidR="00396D89" w:rsidRDefault="00396D89" w:rsidP="00396D89">
      <w:pPr>
        <w:pStyle w:val="p4"/>
      </w:pPr>
      <w:r>
        <w:rPr>
          <w:b/>
          <w:bCs/>
        </w:rPr>
        <w:t>3. DRG recalibration (long-term solution)</w:t>
      </w:r>
    </w:p>
    <w:p w14:paraId="65EE7F7F" w14:textId="3C34CA70" w:rsidR="00396D89" w:rsidRDefault="00396D89" w:rsidP="00396D89">
      <w:pPr>
        <w:pStyle w:val="p1"/>
        <w:rPr>
          <w:rStyle w:val="s2"/>
        </w:rPr>
      </w:pPr>
      <w:r>
        <w:t>Over time, CMS may increase DRG weights or create a split to incorporate the cost of Product X into standard reimbursement. This is the only durable solution.</w:t>
      </w:r>
    </w:p>
    <w:p w14:paraId="739D2E40" w14:textId="77777777" w:rsidR="00396D89" w:rsidRDefault="00396D89" w:rsidP="00396D89">
      <w:pPr>
        <w:pStyle w:val="p1"/>
      </w:pPr>
      <w:r>
        <w:rPr>
          <w:rStyle w:val="s1"/>
          <w:b/>
          <w:bCs/>
        </w:rPr>
        <w:t>Cash-pay in the inpatient setting</w:t>
      </w:r>
      <w:r>
        <w:t xml:space="preserve"> is not a viable pathway. Hospitals cannot routinely bill patients separately for a drug administered as part of an inpatient admission covered under Medicare or commercial insurance.</w:t>
      </w:r>
    </w:p>
    <w:p w14:paraId="6E83FF40" w14:textId="24493FA9" w:rsidR="00396D89" w:rsidRDefault="00396D89" w:rsidP="00396D89">
      <w:pPr>
        <w:pStyle w:val="p1"/>
        <w:rPr>
          <w:rStyle w:val="s2"/>
        </w:rPr>
      </w:pPr>
      <w:r>
        <w:rPr>
          <w:b/>
          <w:bCs/>
        </w:rPr>
        <w:t>Separate line-item reimbursement (like outpatient ASP+6%)</w:t>
      </w:r>
      <w:r>
        <w:rPr>
          <w:rStyle w:val="s1"/>
        </w:rPr>
        <w:t xml:space="preserve"> does not exist in the inpatient setting.</w:t>
      </w:r>
    </w:p>
    <w:p w14:paraId="43562BE9" w14:textId="3DB9CAB8" w:rsidR="00396D89" w:rsidRPr="00396D89" w:rsidRDefault="00396D89" w:rsidP="00396D89">
      <w:pPr>
        <w:pStyle w:val="Heading3"/>
        <w:rPr>
          <w:color w:val="000000" w:themeColor="text1"/>
        </w:rPr>
      </w:pPr>
      <w:r w:rsidRPr="00396D89">
        <w:rPr>
          <w:color w:val="000000" w:themeColor="text1"/>
        </w:rPr>
        <w:t>Summary</w:t>
      </w:r>
    </w:p>
    <w:p w14:paraId="5BDF59F7" w14:textId="77777777" w:rsidR="00396D89" w:rsidRDefault="00396D89" w:rsidP="00396D89">
      <w:pPr>
        <w:pStyle w:val="p1"/>
      </w:pPr>
      <w:r>
        <w:t>Product X is unlikely to generate a new DRG at launch. The expected pathway is:</w:t>
      </w:r>
    </w:p>
    <w:p w14:paraId="228B4E25" w14:textId="291BF7E2" w:rsidR="00396D89" w:rsidRDefault="00396D89" w:rsidP="00396D89">
      <w:pPr>
        <w:pStyle w:val="p1"/>
        <w:numPr>
          <w:ilvl w:val="0"/>
          <w:numId w:val="32"/>
        </w:numPr>
      </w:pPr>
      <w:r>
        <w:t xml:space="preserve">Inclusion in existing DRGs </w:t>
      </w:r>
    </w:p>
    <w:p w14:paraId="5541AD1E" w14:textId="31016980" w:rsidR="00396D89" w:rsidRDefault="00396D89" w:rsidP="00396D89">
      <w:pPr>
        <w:pStyle w:val="p1"/>
        <w:numPr>
          <w:ilvl w:val="0"/>
          <w:numId w:val="32"/>
        </w:numPr>
      </w:pPr>
      <w:r>
        <w:t xml:space="preserve">NTAP as a bridge </w:t>
      </w:r>
    </w:p>
    <w:p w14:paraId="06709313" w14:textId="3A07DE6C" w:rsidR="00396D89" w:rsidRDefault="00396D89" w:rsidP="00396D89">
      <w:pPr>
        <w:pStyle w:val="p1"/>
        <w:numPr>
          <w:ilvl w:val="0"/>
          <w:numId w:val="32"/>
        </w:numPr>
      </w:pPr>
      <w:r>
        <w:t>Eventual DRG reweighting or split</w:t>
      </w:r>
    </w:p>
    <w:p w14:paraId="27C6EDAF" w14:textId="77777777" w:rsidR="00396D89" w:rsidRDefault="00396D89" w:rsidP="00396D89">
      <w:pPr>
        <w:pStyle w:val="p1"/>
      </w:pPr>
      <w:r>
        <w:t xml:space="preserve">Incremental reimbursement will primarily occur through </w:t>
      </w:r>
      <w:r>
        <w:rPr>
          <w:rStyle w:val="s1"/>
          <w:b/>
          <w:bCs/>
        </w:rPr>
        <w:t>NTAP</w:t>
      </w:r>
      <w:r>
        <w:t>, with limited support from outlier payments. There is no practical pathway for separate billing or cash-pay, making alignment with CMS payment mechanisms essential for adoption.</w:t>
      </w:r>
    </w:p>
    <w:p w14:paraId="60AC2C0D" w14:textId="77777777" w:rsidR="00396D89" w:rsidRPr="009A53ED"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bookmarkStart w:id="16" w:name="_Hlk225712779"/>
    </w:p>
    <w:bookmarkEnd w:id="15"/>
    <w:p w14:paraId="5F07C122" w14:textId="005251C1" w:rsidR="00CC1AA9" w:rsidRPr="009A53ED" w:rsidRDefault="00CC1AA9" w:rsidP="00CC1AA9">
      <w:pPr>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rPr>
        <w:t>Please complete the table and note how you anticipate hospital payers covering Product X at the following prices:</w:t>
      </w:r>
    </w:p>
    <w:tbl>
      <w:tblPr>
        <w:tblStyle w:val="PlainTable4"/>
        <w:tblW w:w="0" w:type="auto"/>
        <w:tblLook w:val="04A0" w:firstRow="1" w:lastRow="0" w:firstColumn="1" w:lastColumn="0" w:noHBand="0" w:noVBand="1"/>
      </w:tblPr>
      <w:tblGrid>
        <w:gridCol w:w="2424"/>
        <w:gridCol w:w="2743"/>
        <w:gridCol w:w="2743"/>
      </w:tblGrid>
      <w:tr w:rsidR="007B0FFA" w:rsidRPr="009A53ED" w14:paraId="725DA45E" w14:textId="77777777" w:rsidTr="00D85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3B6E5EF8" w14:textId="77777777" w:rsidR="00CC1AA9" w:rsidRPr="009A53ED" w:rsidRDefault="00CC1AA9" w:rsidP="00CC1AA9">
            <w:pPr>
              <w:pBdr>
                <w:top w:val="nil"/>
                <w:left w:val="nil"/>
                <w:bottom w:val="nil"/>
                <w:right w:val="nil"/>
                <w:between w:val="nil"/>
              </w:pBd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Product X Cost</w:t>
            </w:r>
          </w:p>
        </w:tc>
        <w:tc>
          <w:tcPr>
            <w:tcW w:w="2743" w:type="dxa"/>
            <w:vAlign w:val="center"/>
          </w:tcPr>
          <w:p w14:paraId="22195E95" w14:textId="77777777" w:rsidR="00CC1AA9" w:rsidRPr="009A53ED" w:rsidRDefault="00CC1AA9" w:rsidP="00CC1AA9">
            <w:pPr>
              <w:pStyle w:val="NormalWeb"/>
              <w:spacing w:before="0" w:beforeAutospacing="0" w:after="200" w:afterAutospacing="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9A53ED">
              <w:rPr>
                <w:b w:val="0"/>
                <w:bCs w:val="0"/>
                <w:color w:val="000000" w:themeColor="text1"/>
                <w:kern w:val="24"/>
                <w:sz w:val="18"/>
                <w:szCs w:val="18"/>
              </w:rPr>
              <w:t>What price level for Product X would you anticipate hospital payers to deem price adjustment as</w:t>
            </w:r>
            <w:r w:rsidRPr="009A53ED">
              <w:rPr>
                <w:b w:val="0"/>
                <w:bCs w:val="0"/>
                <w:color w:val="000000" w:themeColor="text1"/>
                <w:kern w:val="24"/>
                <w:sz w:val="18"/>
                <w:szCs w:val="18"/>
                <w:u w:val="single"/>
              </w:rPr>
              <w:t xml:space="preserve"> not necessary</w:t>
            </w:r>
            <w:r w:rsidRPr="009A53ED">
              <w:rPr>
                <w:b w:val="0"/>
                <w:bCs w:val="0"/>
                <w:color w:val="000000" w:themeColor="text1"/>
                <w:kern w:val="24"/>
                <w:sz w:val="18"/>
                <w:szCs w:val="18"/>
              </w:rPr>
              <w:t>? (Considering the current DRGs)</w:t>
            </w:r>
          </w:p>
          <w:p w14:paraId="143E2CC8" w14:textId="424E49A1" w:rsidR="00CC1AA9" w:rsidRPr="009A53ED" w:rsidRDefault="00CC1AA9" w:rsidP="00CC1AA9">
            <w:pPr>
              <w:pStyle w:val="ListBullet2"/>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000000" w:themeColor="text1"/>
                <w:sz w:val="18"/>
                <w:szCs w:val="18"/>
                <w:lang w:val="en-US"/>
              </w:rPr>
            </w:pPr>
            <w:r w:rsidRPr="009A53ED">
              <w:rPr>
                <w:rFonts w:ascii="Times New Roman" w:hAnsi="Times New Roman" w:cs="Times New Roman"/>
                <w:b w:val="0"/>
                <w:bCs w:val="0"/>
                <w:color w:val="000000" w:themeColor="text1"/>
                <w:kern w:val="24"/>
                <w:sz w:val="18"/>
                <w:szCs w:val="18"/>
              </w:rPr>
              <w:t> </w:t>
            </w:r>
          </w:p>
        </w:tc>
        <w:tc>
          <w:tcPr>
            <w:tcW w:w="2743" w:type="dxa"/>
            <w:vAlign w:val="center"/>
          </w:tcPr>
          <w:p w14:paraId="506B749D" w14:textId="77777777" w:rsidR="00CC1AA9" w:rsidRPr="009A53ED" w:rsidRDefault="00CC1AA9" w:rsidP="00CC1AA9">
            <w:pPr>
              <w:pStyle w:val="NormalWeb"/>
              <w:spacing w:before="0" w:beforeAutospacing="0" w:after="200" w:afterAutospacing="0"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9A53ED">
              <w:rPr>
                <w:b w:val="0"/>
                <w:bCs w:val="0"/>
                <w:color w:val="000000" w:themeColor="text1"/>
                <w:kern w:val="24"/>
                <w:sz w:val="18"/>
                <w:szCs w:val="18"/>
              </w:rPr>
              <w:t>At what price level for Product X would the adoption of the product slow? Or stop? Why?</w:t>
            </w:r>
          </w:p>
          <w:p w14:paraId="3048C295" w14:textId="45657DAE" w:rsidR="00CC1AA9" w:rsidRPr="009A53ED" w:rsidRDefault="00CC1AA9" w:rsidP="00CC1AA9">
            <w:pPr>
              <w:pStyle w:val="ListBullet2"/>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000000" w:themeColor="text1"/>
                <w:sz w:val="18"/>
                <w:szCs w:val="18"/>
                <w:lang w:val="en-US"/>
              </w:rPr>
            </w:pPr>
            <w:r w:rsidRPr="009A53ED">
              <w:rPr>
                <w:rFonts w:ascii="Times New Roman" w:hAnsi="Times New Roman" w:cs="Times New Roman"/>
                <w:b w:val="0"/>
                <w:bCs w:val="0"/>
                <w:color w:val="000000" w:themeColor="text1"/>
                <w:kern w:val="24"/>
                <w:sz w:val="18"/>
                <w:szCs w:val="18"/>
              </w:rPr>
              <w:t> </w:t>
            </w:r>
          </w:p>
        </w:tc>
      </w:tr>
      <w:tr w:rsidR="007B0FFA" w:rsidRPr="009A53ED" w14:paraId="06C3AA3D" w14:textId="77777777" w:rsidTr="00305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0D77ACFA" w14:textId="77777777" w:rsidR="00D8705C" w:rsidRPr="009A53ED" w:rsidRDefault="00D8705C" w:rsidP="0030593A">
            <w:pPr>
              <w:pBdr>
                <w:top w:val="nil"/>
                <w:left w:val="nil"/>
                <w:bottom w:val="nil"/>
                <w:right w:val="nil"/>
                <w:between w:val="nil"/>
              </w:pBd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$15K per event per patient</w:t>
            </w:r>
          </w:p>
        </w:tc>
        <w:tc>
          <w:tcPr>
            <w:tcW w:w="2743" w:type="dxa"/>
          </w:tcPr>
          <w:p w14:paraId="4333ABFE" w14:textId="6E94F386" w:rsidR="00D8705C" w:rsidRPr="009A53ED" w:rsidRDefault="00396D89"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X</w:t>
            </w:r>
          </w:p>
        </w:tc>
        <w:tc>
          <w:tcPr>
            <w:tcW w:w="2743" w:type="dxa"/>
          </w:tcPr>
          <w:p w14:paraId="3059F974" w14:textId="77777777" w:rsidR="00D8705C" w:rsidRPr="009A53ED" w:rsidRDefault="00D8705C"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p>
        </w:tc>
      </w:tr>
      <w:tr w:rsidR="007B0FFA" w:rsidRPr="009A53ED" w14:paraId="32A11168" w14:textId="77777777" w:rsidTr="0030593A">
        <w:tc>
          <w:tcPr>
            <w:cnfStyle w:val="001000000000" w:firstRow="0" w:lastRow="0" w:firstColumn="1" w:lastColumn="0" w:oddVBand="0" w:evenVBand="0" w:oddHBand="0" w:evenHBand="0" w:firstRowFirstColumn="0" w:firstRowLastColumn="0" w:lastRowFirstColumn="0" w:lastRowLastColumn="0"/>
            <w:tcW w:w="2424" w:type="dxa"/>
          </w:tcPr>
          <w:p w14:paraId="1B66AA7F" w14:textId="77777777" w:rsidR="00D8705C" w:rsidRPr="009A53ED" w:rsidRDefault="00D8705C"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$25K per event per patient</w:t>
            </w:r>
          </w:p>
        </w:tc>
        <w:tc>
          <w:tcPr>
            <w:tcW w:w="2743" w:type="dxa"/>
          </w:tcPr>
          <w:p w14:paraId="4CA796CA" w14:textId="634F3F8F" w:rsidR="00D8705C" w:rsidRPr="009A53ED" w:rsidRDefault="00396D89" w:rsidP="0030593A">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X</w:t>
            </w:r>
          </w:p>
        </w:tc>
        <w:tc>
          <w:tcPr>
            <w:tcW w:w="2743" w:type="dxa"/>
          </w:tcPr>
          <w:p w14:paraId="54509641" w14:textId="77777777" w:rsidR="00D8705C" w:rsidRPr="009A53ED" w:rsidRDefault="00D8705C" w:rsidP="0030593A">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p>
        </w:tc>
      </w:tr>
      <w:tr w:rsidR="007B0FFA" w:rsidRPr="009A53ED" w14:paraId="280B107A" w14:textId="77777777" w:rsidTr="00305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68259BCB" w14:textId="77777777" w:rsidR="00D8705C" w:rsidRPr="009A53ED" w:rsidRDefault="00D8705C"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$35K per event per patient</w:t>
            </w:r>
          </w:p>
        </w:tc>
        <w:tc>
          <w:tcPr>
            <w:tcW w:w="2743" w:type="dxa"/>
          </w:tcPr>
          <w:p w14:paraId="05D6B2DC" w14:textId="77777777" w:rsidR="00D8705C" w:rsidRPr="009A53ED" w:rsidRDefault="00D8705C"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p>
        </w:tc>
        <w:tc>
          <w:tcPr>
            <w:tcW w:w="2743" w:type="dxa"/>
          </w:tcPr>
          <w:p w14:paraId="18985BEB" w14:textId="4320298B" w:rsidR="00D8705C" w:rsidRPr="009A53ED" w:rsidRDefault="00396D89"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Friction</w:t>
            </w:r>
          </w:p>
        </w:tc>
      </w:tr>
      <w:tr w:rsidR="007B0FFA" w:rsidRPr="009A53ED" w14:paraId="0D2EA94C" w14:textId="77777777" w:rsidTr="0030593A">
        <w:tc>
          <w:tcPr>
            <w:cnfStyle w:val="001000000000" w:firstRow="0" w:lastRow="0" w:firstColumn="1" w:lastColumn="0" w:oddVBand="0" w:evenVBand="0" w:oddHBand="0" w:evenHBand="0" w:firstRowFirstColumn="0" w:firstRowLastColumn="0" w:lastRowFirstColumn="0" w:lastRowLastColumn="0"/>
            <w:tcW w:w="2424" w:type="dxa"/>
          </w:tcPr>
          <w:p w14:paraId="4B83E472" w14:textId="77777777" w:rsidR="00D8705C" w:rsidRPr="009A53ED" w:rsidRDefault="00D8705C"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$50K per event per patient</w:t>
            </w:r>
          </w:p>
        </w:tc>
        <w:tc>
          <w:tcPr>
            <w:tcW w:w="2743" w:type="dxa"/>
          </w:tcPr>
          <w:p w14:paraId="1DDFD83C" w14:textId="77777777" w:rsidR="00D8705C" w:rsidRPr="009A53ED" w:rsidRDefault="00D8705C" w:rsidP="0030593A">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p>
        </w:tc>
        <w:tc>
          <w:tcPr>
            <w:tcW w:w="2743" w:type="dxa"/>
          </w:tcPr>
          <w:p w14:paraId="2F774213" w14:textId="4E35D2A5" w:rsidR="00D8705C" w:rsidRPr="009A53ED" w:rsidRDefault="00396D89" w:rsidP="0030593A">
            <w:pPr>
              <w:pStyle w:val="ListBullet2"/>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Slow</w:t>
            </w:r>
          </w:p>
        </w:tc>
      </w:tr>
      <w:tr w:rsidR="007B0FFA" w:rsidRPr="009A53ED" w14:paraId="71129499" w14:textId="77777777" w:rsidTr="00305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04FB9BFF" w14:textId="7A064570" w:rsidR="00D8705C" w:rsidRPr="009A53ED" w:rsidRDefault="00D8705C" w:rsidP="0030593A">
            <w:pPr>
              <w:pStyle w:val="ListBullet2"/>
              <w:numPr>
                <w:ilvl w:val="0"/>
                <w:numId w:val="0"/>
              </w:numPr>
              <w:rPr>
                <w:rFonts w:ascii="Times New Roman" w:eastAsia="Calibri" w:hAnsi="Times New Roman" w:cs="Times New Roman"/>
                <w:b w:val="0"/>
                <w:bCs w:val="0"/>
                <w:color w:val="000000" w:themeColor="text1"/>
                <w:lang w:val="en-US"/>
              </w:rPr>
            </w:pPr>
            <w:r w:rsidRPr="009A53ED">
              <w:rPr>
                <w:rFonts w:ascii="Times New Roman" w:eastAsia="Calibri" w:hAnsi="Times New Roman" w:cs="Times New Roman"/>
                <w:b w:val="0"/>
                <w:bCs w:val="0"/>
                <w:color w:val="000000" w:themeColor="text1"/>
                <w:lang w:val="en-US"/>
              </w:rPr>
              <w:t>$80K per event per patient</w:t>
            </w:r>
          </w:p>
        </w:tc>
        <w:tc>
          <w:tcPr>
            <w:tcW w:w="2743" w:type="dxa"/>
          </w:tcPr>
          <w:p w14:paraId="439C40AE" w14:textId="77777777" w:rsidR="00D8705C" w:rsidRPr="009A53ED" w:rsidRDefault="00D8705C"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p>
        </w:tc>
        <w:tc>
          <w:tcPr>
            <w:tcW w:w="2743" w:type="dxa"/>
          </w:tcPr>
          <w:p w14:paraId="5C6A3225" w14:textId="65E232E1" w:rsidR="00D8705C" w:rsidRPr="009A53ED" w:rsidRDefault="00396D89" w:rsidP="0030593A">
            <w:pPr>
              <w:pStyle w:val="ListBullet2"/>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Stop</w:t>
            </w:r>
          </w:p>
        </w:tc>
      </w:tr>
      <w:bookmarkEnd w:id="16"/>
    </w:tbl>
    <w:p w14:paraId="702E4DDF" w14:textId="77777777" w:rsidR="00D8705C" w:rsidRDefault="00D8705C" w:rsidP="00396D89">
      <w:pPr>
        <w:pBdr>
          <w:top w:val="nil"/>
          <w:left w:val="nil"/>
          <w:bottom w:val="nil"/>
          <w:right w:val="nil"/>
          <w:between w:val="nil"/>
        </w:pBdr>
        <w:rPr>
          <w:rFonts w:ascii="Times New Roman" w:hAnsi="Times New Roman" w:cs="Times New Roman"/>
          <w:color w:val="000000" w:themeColor="text1"/>
        </w:rPr>
      </w:pPr>
    </w:p>
    <w:p w14:paraId="1C37632A" w14:textId="77777777" w:rsidR="00396D89" w:rsidRPr="00396D89" w:rsidRDefault="00396D89" w:rsidP="00396D89">
      <w:pPr>
        <w:pStyle w:val="p1"/>
      </w:pPr>
      <w:r w:rsidRPr="00396D89">
        <w:t xml:space="preserve">Hospital payers will evaluate Product X based on </w:t>
      </w:r>
      <w:r w:rsidRPr="00396D89">
        <w:rPr>
          <w:rStyle w:val="s1"/>
        </w:rPr>
        <w:t>net financial impact relative to the DRG</w:t>
      </w:r>
      <w:r w:rsidRPr="00396D89">
        <w:t>, not clinical value alone.</w:t>
      </w:r>
    </w:p>
    <w:p w14:paraId="13E3F2F7" w14:textId="77777777" w:rsidR="00396D89" w:rsidRPr="00396D89" w:rsidRDefault="00396D89" w:rsidP="00396D89">
      <w:pPr>
        <w:pStyle w:val="p1"/>
        <w:numPr>
          <w:ilvl w:val="0"/>
          <w:numId w:val="33"/>
        </w:numPr>
      </w:pPr>
      <w:r w:rsidRPr="00396D89">
        <w:rPr>
          <w:rStyle w:val="s1"/>
        </w:rPr>
        <w:t>≤$15K</w:t>
      </w:r>
      <w:r w:rsidRPr="00396D89">
        <w:t>: Absorbable, broad adoption</w:t>
      </w:r>
    </w:p>
    <w:p w14:paraId="2AECAF42" w14:textId="77777777" w:rsidR="00396D89" w:rsidRPr="00396D89" w:rsidRDefault="00396D89" w:rsidP="00396D89">
      <w:pPr>
        <w:pStyle w:val="p1"/>
        <w:numPr>
          <w:ilvl w:val="0"/>
          <w:numId w:val="33"/>
        </w:numPr>
      </w:pPr>
      <w:r w:rsidRPr="00396D89">
        <w:rPr>
          <w:rStyle w:val="s1"/>
        </w:rPr>
        <w:t>~$25K</w:t>
      </w:r>
      <w:r w:rsidRPr="00396D89">
        <w:t>: Manageable with some pressure</w:t>
      </w:r>
    </w:p>
    <w:p w14:paraId="550C37AD" w14:textId="77777777" w:rsidR="00396D89" w:rsidRPr="00396D89" w:rsidRDefault="00396D89" w:rsidP="00396D89">
      <w:pPr>
        <w:pStyle w:val="p1"/>
        <w:numPr>
          <w:ilvl w:val="0"/>
          <w:numId w:val="33"/>
        </w:numPr>
      </w:pPr>
      <w:r w:rsidRPr="00396D89">
        <w:rPr>
          <w:rStyle w:val="s1"/>
        </w:rPr>
        <w:t>~$35K+</w:t>
      </w:r>
      <w:r w:rsidRPr="00396D89">
        <w:t>: Requires NTAP, adoption slows</w:t>
      </w:r>
    </w:p>
    <w:p w14:paraId="50C0CEFC" w14:textId="77777777" w:rsidR="00396D89" w:rsidRPr="00396D89" w:rsidRDefault="00396D89" w:rsidP="00396D89">
      <w:pPr>
        <w:pStyle w:val="p1"/>
        <w:numPr>
          <w:ilvl w:val="0"/>
          <w:numId w:val="33"/>
        </w:numPr>
      </w:pPr>
      <w:r w:rsidRPr="00396D89">
        <w:rPr>
          <w:rStyle w:val="s1"/>
        </w:rPr>
        <w:t>≥$50K</w:t>
      </w:r>
      <w:r w:rsidRPr="00396D89">
        <w:t>: Structurally misaligned, adoption limited</w:t>
      </w:r>
    </w:p>
    <w:p w14:paraId="744F6B96" w14:textId="00D93C49" w:rsidR="00396D89" w:rsidRPr="00396D89" w:rsidRDefault="00396D89" w:rsidP="00396D89">
      <w:pPr>
        <w:pStyle w:val="p1"/>
        <w:numPr>
          <w:ilvl w:val="0"/>
          <w:numId w:val="33"/>
        </w:numPr>
      </w:pPr>
      <w:r w:rsidRPr="00396D89">
        <w:rPr>
          <w:rStyle w:val="s1"/>
        </w:rPr>
        <w:t>$80K</w:t>
      </w:r>
      <w:r w:rsidRPr="00396D89">
        <w:t>: Not viable without major reimbursement reform</w:t>
      </w:r>
    </w:p>
    <w:p w14:paraId="5F98C0B8" w14:textId="292DCCDF" w:rsidR="00396D89" w:rsidRPr="00396D89" w:rsidRDefault="00396D89" w:rsidP="00396D89">
      <w:pPr>
        <w:pStyle w:val="p1"/>
      </w:pPr>
      <w:r>
        <w:t xml:space="preserve">The key inflection point is where the therapy transitions from being </w:t>
      </w:r>
      <w:r>
        <w:rPr>
          <w:rStyle w:val="s1"/>
          <w:b/>
          <w:bCs/>
        </w:rPr>
        <w:t>offset-driven to reimbursement-dependent</w:t>
      </w:r>
      <w:r>
        <w:t>, which occurs around the $25K–$35K range.</w:t>
      </w:r>
    </w:p>
    <w:p w14:paraId="4FC3307B" w14:textId="77777777" w:rsidR="005721E5" w:rsidRPr="009A53ED" w:rsidRDefault="00134B51">
      <w:pPr>
        <w:pStyle w:val="Heading2"/>
        <w:rPr>
          <w:rFonts w:ascii="Times New Roman" w:hAnsi="Times New Roman" w:cs="Times New Roman"/>
          <w:b w:val="0"/>
          <w:bCs w:val="0"/>
          <w:color w:val="000000" w:themeColor="text1"/>
        </w:rPr>
      </w:pPr>
      <w:r w:rsidRPr="009A53ED">
        <w:rPr>
          <w:rFonts w:ascii="Times New Roman" w:hAnsi="Times New Roman" w:cs="Times New Roman"/>
          <w:b w:val="0"/>
          <w:bCs w:val="0"/>
          <w:color w:val="000000" w:themeColor="text1"/>
        </w:rPr>
        <w:t xml:space="preserve">Section V: NTAP Requirement </w:t>
      </w:r>
    </w:p>
    <w:p w14:paraId="0E27B9A6" w14:textId="2DF82030" w:rsidR="005721E5" w:rsidRDefault="00134B51" w:rsidP="00CC1AA9">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bookmarkStart w:id="17" w:name="_Hlk225712902"/>
      <w:r w:rsidRPr="009A53ED">
        <w:rPr>
          <w:rFonts w:ascii="Times New Roman" w:eastAsia="Calibri" w:hAnsi="Times New Roman" w:cs="Times New Roman"/>
          <w:color w:val="000000" w:themeColor="text1"/>
          <w:lang w:val="en-US"/>
        </w:rPr>
        <w:t>How does NTAP (New Technology Add-On Payment) reduce adoption risk? Please rate it on a scale of 1-5, where “5” is “highly reduces adoption risk” and “1” is “not reduce adoption risk at all”?</w:t>
      </w:r>
      <w:r w:rsidR="00396D89">
        <w:rPr>
          <w:rFonts w:ascii="Times New Roman" w:eastAsia="Calibri" w:hAnsi="Times New Roman" w:cs="Times New Roman"/>
          <w:color w:val="000000" w:themeColor="text1"/>
          <w:lang w:val="en-US"/>
        </w:rPr>
        <w:t>’</w:t>
      </w:r>
    </w:p>
    <w:p w14:paraId="4825F02B"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NTAP reduces adoption risk by directly addressing the core financial barrier hospitals face under the DRG system, which is the inability to recover the cost of a new, high-cost therapy within a fixed bundled payment.</w:t>
      </w:r>
    </w:p>
    <w:p w14:paraId="727B8FC3"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09472C7F"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Under current reimbursement, Product X would be fully absorbed within existing DRGs for EVT, which were not designed to include a therapy of this cost. This creates an immediate negative margin for hospitals and is the primary reason adoption would be constrained at launch. NTAP mitigates this by providing incremental payment on top of the DRG, typically covering up to approximately 65% of the cost of the new technology for a limited period (cms.gov￼).</w:t>
      </w:r>
    </w:p>
    <w:p w14:paraId="0A82B2F8"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53189BB9"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In practical terms, this materially changes hospital economics. For example, a $30,000 therapy would expose the hospital to the full cost without NTAP, but with NTAP, the unreimbursed portion drops to roughly $10,000. This shifts the evaluation from “this creates a significant loss” to “this is partially offset and potentially manageable,” especially when combined with reductions in length of stay and improved discharge patterns.</w:t>
      </w:r>
    </w:p>
    <w:p w14:paraId="721AFAEB"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10190D19"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Beyond the direct financial impact, NTAP also serves as a validation signal from CMS. Approval indicates that the therapy meets key criteria, including:</w:t>
      </w:r>
    </w:p>
    <w:p w14:paraId="2C1837FF"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Demonstration of substantial clinical improvement</w:t>
      </w:r>
    </w:p>
    <w:p w14:paraId="38290927"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Evidence that the cost is not already captured in the DRG</w:t>
      </w:r>
    </w:p>
    <w:p w14:paraId="1950FD01"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5306CF0D" w14:textId="194C908C"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This reduces payer skepticism and facilitates formulary discussions, as reflected in the materials’ positioning of NTAP as the bridge to DRG recalibration.</w:t>
      </w:r>
    </w:p>
    <w:p w14:paraId="47420EB2"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4C3AAEDC"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However, NTAP does not fully eliminate risk. Hospitals still bear a portion of the cost, and adoption decisions remain sensitive to operational burden and residual margin impact. Additionally, NTAP is temporary, typically lasting 2–3 years, after which reimbursement depends on DRG updates.</w:t>
      </w:r>
    </w:p>
    <w:p w14:paraId="025312DB"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0F8FD5B4" w14:textId="4807025F" w:rsid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Taking all of this into account, NTAP would be rated a 5 out of 5 in terms of reducing adoption risk. It is the single most important mechanism enabling early adoption by transforming a structurally negative-margin therapy into one that is financially viable, even if not fully reimbursed.</w:t>
      </w:r>
    </w:p>
    <w:p w14:paraId="4AEA2BA7" w14:textId="77777777" w:rsidR="00396D89" w:rsidRPr="009A53ED"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2509DC6A" w14:textId="77777777" w:rsidR="005721E5" w:rsidRDefault="00134B51" w:rsidP="00CC1AA9">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bookmarkStart w:id="18" w:name="_Hlk225713007"/>
      <w:bookmarkEnd w:id="17"/>
      <w:r w:rsidRPr="009A53ED">
        <w:rPr>
          <w:rFonts w:ascii="Times New Roman" w:eastAsia="Calibri" w:hAnsi="Times New Roman" w:cs="Times New Roman"/>
          <w:color w:val="000000" w:themeColor="text1"/>
          <w:lang w:val="en-US"/>
        </w:rPr>
        <w:t>Would your organization wait for NTAP (New Technology Add-On Payment) before using Product X for all patients?</w:t>
      </w:r>
    </w:p>
    <w:p w14:paraId="0F077692"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From a practical standpoint, most organizations would not wait for NTAP to begin using Product X in all patients, but they would limit use prior to NTAP and expand only once NTAP is in place.</w:t>
      </w:r>
    </w:p>
    <w:p w14:paraId="2C5C8613"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749041DE"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 xml:space="preserve">In the absence of NTAP, Product X would be fully absorbed within the DRG, creating a negative margin for hospitals, as current DRGs for EVT cases were not designed to include a high-cost adjunct </w:t>
      </w:r>
      <w:proofErr w:type="gramStart"/>
      <w:r w:rsidRPr="00396D89">
        <w:rPr>
          <w:rFonts w:ascii="Times New Roman" w:eastAsia="Calibri" w:hAnsi="Times New Roman" w:cs="Times New Roman"/>
          <w:color w:val="000000" w:themeColor="text1"/>
          <w:lang w:val="en-US"/>
        </w:rPr>
        <w:t>therapy  ￼</w:t>
      </w:r>
      <w:proofErr w:type="gramEnd"/>
      <w:r w:rsidRPr="00396D89">
        <w:rPr>
          <w:rFonts w:ascii="Times New Roman" w:eastAsia="Calibri" w:hAnsi="Times New Roman" w:cs="Times New Roman"/>
          <w:color w:val="000000" w:themeColor="text1"/>
          <w:lang w:val="en-US"/>
        </w:rPr>
        <w:t xml:space="preserve"> (page 12). As a result, broad, protocolized use across all eligible patients would be unlikely at launch. Instead, use would be:</w:t>
      </w:r>
    </w:p>
    <w:p w14:paraId="5D3BDFFA"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Restricted to select patients with the highest perceived clinical benefit</w:t>
      </w:r>
    </w:p>
    <w:p w14:paraId="5D0C5D19"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Concentrated in academic or early-adopter centers</w:t>
      </w:r>
    </w:p>
    <w:p w14:paraId="3E5C7BC6"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Subject to internal review by pharmacy and therapeutics (P&amp;T) committees or value analysis teams</w:t>
      </w:r>
    </w:p>
    <w:p w14:paraId="7D051FC9"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48A15F73"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Once NTAP is in place, the dynamic changes materially. NTAP provides incremental reimbursement and reduces the financial exposure for hospitals, making the therapy economically viable at scale. At that point, organizations would be much more willing to:</w:t>
      </w:r>
    </w:p>
    <w:p w14:paraId="71D79B29"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Incorporate Product X into standardized post-EVT protocols</w:t>
      </w:r>
    </w:p>
    <w:p w14:paraId="776872AC"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Expand use across the full indicated population</w:t>
      </w:r>
    </w:p>
    <w:p w14:paraId="7D041735"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ab/>
        <w:t>•</w:t>
      </w:r>
      <w:r w:rsidRPr="00396D89">
        <w:rPr>
          <w:rFonts w:ascii="Times New Roman" w:eastAsia="Calibri" w:hAnsi="Times New Roman" w:cs="Times New Roman"/>
          <w:color w:val="000000" w:themeColor="text1"/>
          <w:lang w:val="en-US"/>
        </w:rPr>
        <w:tab/>
        <w:t>Reduce internal financial gatekeeping</w:t>
      </w:r>
    </w:p>
    <w:p w14:paraId="20FB4DA8"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63DEF42E"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This staged adoption pattern is consistent with how other high-cost inpatient therapies have been adopted, where early use occurs in a limited, controlled fashion, followed by broader uptake once reimbursement is aligned.</w:t>
      </w:r>
    </w:p>
    <w:p w14:paraId="7B4A73DB" w14:textId="77777777" w:rsidR="00396D89" w:rsidRP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p>
    <w:p w14:paraId="42EBC7A6" w14:textId="724B8F04" w:rsidR="00396D89"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r w:rsidRPr="00396D89">
        <w:rPr>
          <w:rFonts w:ascii="Times New Roman" w:eastAsia="Calibri" w:hAnsi="Times New Roman" w:cs="Times New Roman"/>
          <w:color w:val="000000" w:themeColor="text1"/>
          <w:lang w:val="en-US"/>
        </w:rPr>
        <w:t>In summary, organizations would not completely defer use until NTAP, but they would wait for NTAP before implementing broad, routine use across all eligible patients, as it is the key enabler of financially sustainable adoption.</w:t>
      </w:r>
    </w:p>
    <w:p w14:paraId="05BA1BD8" w14:textId="77777777" w:rsidR="00396D89" w:rsidRPr="009A53ED" w:rsidRDefault="00396D89" w:rsidP="00396D89">
      <w:pPr>
        <w:pBdr>
          <w:top w:val="nil"/>
          <w:left w:val="nil"/>
          <w:bottom w:val="nil"/>
          <w:right w:val="nil"/>
          <w:between w:val="nil"/>
        </w:pBdr>
        <w:spacing w:after="0"/>
        <w:rPr>
          <w:rFonts w:ascii="Times New Roman" w:eastAsia="Calibri" w:hAnsi="Times New Roman" w:cs="Times New Roman"/>
          <w:color w:val="000000" w:themeColor="text1"/>
          <w:lang w:val="en-US"/>
        </w:rPr>
      </w:pPr>
      <w:bookmarkStart w:id="19" w:name="_Hlk225713055"/>
    </w:p>
    <w:bookmarkEnd w:id="18"/>
    <w:p w14:paraId="06599073" w14:textId="2BF099B6" w:rsidR="005721E5" w:rsidRPr="009A53ED" w:rsidRDefault="00134B51" w:rsidP="00CC1AA9">
      <w:pPr>
        <w:numPr>
          <w:ilvl w:val="0"/>
          <w:numId w:val="1"/>
        </w:numPr>
        <w:pBdr>
          <w:top w:val="nil"/>
          <w:left w:val="nil"/>
          <w:bottom w:val="nil"/>
          <w:right w:val="nil"/>
          <w:between w:val="nil"/>
        </w:pBdr>
        <w:spacing w:after="0"/>
        <w:ind w:left="360"/>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lang w:val="en-US"/>
        </w:rPr>
        <w:t xml:space="preserve">Please </w:t>
      </w:r>
      <w:r w:rsidR="00FB3903" w:rsidRPr="009A53ED">
        <w:rPr>
          <w:rFonts w:ascii="Times New Roman" w:eastAsia="Calibri" w:hAnsi="Times New Roman" w:cs="Times New Roman"/>
          <w:color w:val="000000" w:themeColor="text1"/>
          <w:lang w:val="en-US"/>
        </w:rPr>
        <w:t xml:space="preserve">estimate </w:t>
      </w:r>
      <w:r w:rsidRPr="009A53ED">
        <w:rPr>
          <w:rFonts w:ascii="Times New Roman" w:eastAsia="Calibri" w:hAnsi="Times New Roman" w:cs="Times New Roman"/>
          <w:color w:val="000000" w:themeColor="text1"/>
          <w:lang w:val="en-US"/>
        </w:rPr>
        <w:t>the % of adoption as a % of patients under:</w:t>
      </w:r>
    </w:p>
    <w:p w14:paraId="35073943" w14:textId="1C45FF3A" w:rsidR="005721E5" w:rsidRPr="009A53ED" w:rsidRDefault="00134B51" w:rsidP="00F64DAB">
      <w:pPr>
        <w:pStyle w:val="ListBullet"/>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lang w:val="en-US"/>
        </w:rPr>
        <w:t>No NTAP</w:t>
      </w:r>
      <w:r w:rsidR="00396D89">
        <w:rPr>
          <w:rFonts w:ascii="Times New Roman" w:eastAsia="Calibri" w:hAnsi="Times New Roman" w:cs="Times New Roman"/>
          <w:color w:val="000000" w:themeColor="text1"/>
          <w:lang w:val="en-US"/>
        </w:rPr>
        <w:t xml:space="preserve"> – 10 – 20 %</w:t>
      </w:r>
    </w:p>
    <w:p w14:paraId="712C7CA1" w14:textId="5CE2AD27" w:rsidR="005721E5" w:rsidRPr="009A53ED" w:rsidRDefault="00134B51" w:rsidP="00F64DAB">
      <w:pPr>
        <w:pStyle w:val="ListBullet"/>
        <w:rPr>
          <w:rFonts w:ascii="Times New Roman" w:eastAsia="Calibri" w:hAnsi="Times New Roman" w:cs="Times New Roman"/>
          <w:color w:val="000000" w:themeColor="text1"/>
          <w:lang w:val="en-US"/>
        </w:rPr>
      </w:pPr>
      <w:r w:rsidRPr="009A53ED">
        <w:rPr>
          <w:rFonts w:ascii="Times New Roman" w:eastAsia="Calibri" w:hAnsi="Times New Roman" w:cs="Times New Roman"/>
          <w:color w:val="000000" w:themeColor="text1"/>
          <w:lang w:val="en-US"/>
        </w:rPr>
        <w:t>NTAP covering ~65% of the cost</w:t>
      </w:r>
      <w:r w:rsidR="00396D89">
        <w:rPr>
          <w:rFonts w:ascii="Times New Roman" w:eastAsia="Calibri" w:hAnsi="Times New Roman" w:cs="Times New Roman"/>
          <w:color w:val="000000" w:themeColor="text1"/>
          <w:lang w:val="en-US"/>
        </w:rPr>
        <w:t xml:space="preserve"> – 50 -70 %</w:t>
      </w:r>
    </w:p>
    <w:p w14:paraId="6CEFD775" w14:textId="6BBDC23D" w:rsidR="005721E5" w:rsidRPr="009A53ED" w:rsidRDefault="00134B51" w:rsidP="00F64DAB">
      <w:pPr>
        <w:pStyle w:val="ListBullet"/>
        <w:rPr>
          <w:rFonts w:ascii="Times New Roman" w:hAnsi="Times New Roman" w:cs="Times New Roman"/>
          <w:color w:val="000000" w:themeColor="text1"/>
        </w:rPr>
      </w:pPr>
      <w:r w:rsidRPr="009A53ED">
        <w:rPr>
          <w:rFonts w:ascii="Times New Roman" w:eastAsia="Calibri" w:hAnsi="Times New Roman" w:cs="Times New Roman"/>
          <w:color w:val="000000" w:themeColor="text1"/>
          <w:lang w:val="en-US"/>
        </w:rPr>
        <w:t>Permanent DRG increase</w:t>
      </w:r>
      <w:bookmarkEnd w:id="19"/>
      <w:r w:rsidR="00396D89">
        <w:rPr>
          <w:rFonts w:ascii="Times New Roman" w:eastAsia="Calibri" w:hAnsi="Times New Roman" w:cs="Times New Roman"/>
          <w:color w:val="000000" w:themeColor="text1"/>
          <w:lang w:val="en-US"/>
        </w:rPr>
        <w:t xml:space="preserve"> – 70 – 90%</w:t>
      </w:r>
      <w:bookmarkEnd w:id="0"/>
    </w:p>
    <w:sectPr w:rsidR="005721E5" w:rsidRPr="009A53ED">
      <w:headerReference w:type="default" r:id="rId9"/>
      <w:footerReference w:type="defaul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81E8" w14:textId="77777777" w:rsidR="00450773" w:rsidRDefault="00450773">
      <w:pPr>
        <w:spacing w:after="0" w:line="240" w:lineRule="auto"/>
      </w:pPr>
      <w:r>
        <w:separator/>
      </w:r>
    </w:p>
  </w:endnote>
  <w:endnote w:type="continuationSeparator" w:id="0">
    <w:p w14:paraId="3BF1A470" w14:textId="77777777" w:rsidR="00450773" w:rsidRDefault="00450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90558C1-199F-7144-82A2-775D56F903AC}"/>
  </w:font>
  <w:font w:name="Times New Roman">
    <w:panose1 w:val="02020603050405020304"/>
    <w:charset w:val="00"/>
    <w:family w:val="roman"/>
    <w:pitch w:val="variable"/>
    <w:sig w:usb0="E0002EFF" w:usb1="C000785B" w:usb2="00000009" w:usb3="00000000" w:csb0="000001FF" w:csb1="00000000"/>
    <w:embedRegular r:id="rId2" w:fontKey="{895C20F7-07C9-6F41-92EB-7F669D1EC584}"/>
    <w:embedBold r:id="rId3" w:fontKey="{6AB7F232-6A2A-BA40-9805-2A6FB634006A}"/>
    <w:embedItalic r:id="rId4" w:fontKey="{F10AA3F1-EEC0-1D47-8317-B91C401EBBBE}"/>
    <w:embedBoldItalic r:id="rId5" w:fontKey="{799B0B19-2F1C-2A43-98BC-B4E65D3E2C44}"/>
  </w:font>
  <w:font w:name="Courier New">
    <w:panose1 w:val="02070309020205020404"/>
    <w:charset w:val="00"/>
    <w:family w:val="modern"/>
    <w:pitch w:val="fixed"/>
    <w:sig w:usb0="E0002EFF" w:usb1="C0007843" w:usb2="00000009" w:usb3="00000000" w:csb0="000001FF" w:csb1="00000000"/>
    <w:embedRegular r:id="rId6" w:fontKey="{E75B587E-8CC8-2347-9355-EF717D84E774}"/>
  </w:font>
  <w:font w:name="Wingdings">
    <w:panose1 w:val="05000000000000000000"/>
    <w:charset w:val="4D"/>
    <w:family w:val="decorative"/>
    <w:pitch w:val="variable"/>
    <w:sig w:usb0="00000003" w:usb1="00000000" w:usb2="00000000" w:usb3="00000000" w:csb0="80000001" w:csb1="00000000"/>
    <w:embedRegular r:id="rId7" w:fontKey="{B7100112-43AB-6A4E-8198-04400BB1250B}"/>
  </w:font>
  <w:font w:name="Cambria">
    <w:panose1 w:val="02040503050406030204"/>
    <w:charset w:val="A2"/>
    <w:family w:val="roman"/>
    <w:pitch w:val="variable"/>
    <w:sig w:usb0="E00006FF" w:usb1="420024FF" w:usb2="02000000" w:usb3="00000000" w:csb0="0000019F" w:csb1="00000000"/>
    <w:embedRegular r:id="rId8" w:fontKey="{3792FDEB-7677-6548-9CF9-3604263EB4B0}"/>
    <w:embedBold r:id="rId9" w:fontKey="{911BD5E1-F972-634B-903F-7CC5C5D38989}"/>
    <w:embedItalic r:id="rId10" w:fontKey="{C138550A-3421-DC44-BD9B-5BD5920566F8}"/>
    <w:embedBoldItalic r:id="rId11" w:fontKey="{2282CEC2-F956-A14D-86DA-F441F147B06D}"/>
  </w:font>
  <w:font w:name="Calibri">
    <w:panose1 w:val="020F0502020204030204"/>
    <w:charset w:val="A2"/>
    <w:family w:val="swiss"/>
    <w:pitch w:val="variable"/>
    <w:sig w:usb0="E4002EFF" w:usb1="C200247B" w:usb2="00000009" w:usb3="00000000" w:csb0="000001FF" w:csb1="00000000"/>
    <w:embedRegular r:id="rId12" w:fontKey="{2EB9CD59-66C1-2D43-99E4-2A8E316A28E7}"/>
    <w:embedBold r:id="rId13" w:fontKey="{4DEF094F-3537-6249-B17F-B094BDAE5BF9}"/>
    <w:embedItalic r:id="rId14" w:fontKey="{679B5813-B772-A646-8F03-8926B3A116DC}"/>
    <w:embedBoldItalic r:id="rId15" w:fontKey="{6C45462E-2969-894F-A744-467A77C33A98}"/>
  </w:font>
  <w:font w:name="Courier">
    <w:panose1 w:val="02070309020205020404"/>
    <w:charset w:val="00"/>
    <w:family w:val="modern"/>
    <w:pitch w:val="fixed"/>
    <w:sig w:usb0="E0002AFF" w:usb1="C0007843" w:usb2="00000009" w:usb3="00000000" w:csb0="000001FF" w:csb1="00000000"/>
    <w:embedRegular r:id="rId16" w:fontKey="{D6C7D9BC-EC9F-E643-B354-9428F815FE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DF2E" w14:textId="77777777" w:rsidR="005721E5" w:rsidRDefault="00134B51">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185E6115" wp14:editId="77BF24F0">
          <wp:simplePos x="0" y="0"/>
          <wp:positionH relativeFrom="column">
            <wp:posOffset>837247</wp:posOffset>
          </wp:positionH>
          <wp:positionV relativeFrom="paragraph">
            <wp:posOffset>0</wp:posOffset>
          </wp:positionV>
          <wp:extent cx="3811905" cy="952500"/>
          <wp:effectExtent l="0" t="0" r="0" b="0"/>
          <wp:wrapTopAndBottom distT="0" distB="0"/>
          <wp:docPr id="1586150039" name="image1.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lose-up of a logo&#10;&#10;AI-generated content may be incorrect."/>
                  <pic:cNvPicPr preferRelativeResize="0"/>
                </pic:nvPicPr>
                <pic:blipFill>
                  <a:blip r:embed="rId1"/>
                  <a:srcRect/>
                  <a:stretch>
                    <a:fillRect/>
                  </a:stretch>
                </pic:blipFill>
                <pic:spPr>
                  <a:xfrm>
                    <a:off x="0" y="0"/>
                    <a:ext cx="3811905" cy="9525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6728D" w14:textId="77777777" w:rsidR="00450773" w:rsidRDefault="00450773">
      <w:pPr>
        <w:spacing w:after="0" w:line="240" w:lineRule="auto"/>
      </w:pPr>
      <w:r>
        <w:separator/>
      </w:r>
    </w:p>
  </w:footnote>
  <w:footnote w:type="continuationSeparator" w:id="0">
    <w:p w14:paraId="3EFDF5FE" w14:textId="77777777" w:rsidR="00450773" w:rsidRDefault="00450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577B" w14:textId="77777777" w:rsidR="005721E5" w:rsidRDefault="00134B5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8192A">
      <w:rPr>
        <w:noProof/>
        <w:color w:val="000000"/>
      </w:rPr>
      <w:t>1</w:t>
    </w:r>
    <w:r>
      <w:rPr>
        <w:color w:val="000000"/>
      </w:rPr>
      <w:fldChar w:fldCharType="end"/>
    </w:r>
  </w:p>
  <w:p w14:paraId="0710C6AE" w14:textId="77777777" w:rsidR="005721E5" w:rsidRDefault="005721E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78A6136"/>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3C1A39F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8012AD"/>
    <w:multiLevelType w:val="multilevel"/>
    <w:tmpl w:val="7AD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1EC9"/>
    <w:multiLevelType w:val="multilevel"/>
    <w:tmpl w:val="6D64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B354C"/>
    <w:multiLevelType w:val="hybridMultilevel"/>
    <w:tmpl w:val="C248E07A"/>
    <w:lvl w:ilvl="0" w:tplc="AF8AD228">
      <w:start w:val="7"/>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759B9"/>
    <w:multiLevelType w:val="multilevel"/>
    <w:tmpl w:val="B1F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10959"/>
    <w:multiLevelType w:val="multilevel"/>
    <w:tmpl w:val="8EF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F0143"/>
    <w:multiLevelType w:val="multilevel"/>
    <w:tmpl w:val="279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C59F5"/>
    <w:multiLevelType w:val="multilevel"/>
    <w:tmpl w:val="2BF84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DA193A"/>
    <w:multiLevelType w:val="multilevel"/>
    <w:tmpl w:val="16BA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D797A"/>
    <w:multiLevelType w:val="multilevel"/>
    <w:tmpl w:val="2BF84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A36534"/>
    <w:multiLevelType w:val="multilevel"/>
    <w:tmpl w:val="B58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83567"/>
    <w:multiLevelType w:val="multilevel"/>
    <w:tmpl w:val="E9D2A140"/>
    <w:lvl w:ilvl="0">
      <w:start w:val="1"/>
      <w:numFmt w:val="decimal"/>
      <w:pStyle w:val="ListBullet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7F0187"/>
    <w:multiLevelType w:val="multilevel"/>
    <w:tmpl w:val="846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A61F8"/>
    <w:multiLevelType w:val="hybridMultilevel"/>
    <w:tmpl w:val="B8E81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007974"/>
    <w:multiLevelType w:val="multilevel"/>
    <w:tmpl w:val="5002F4A6"/>
    <w:lvl w:ilvl="0">
      <w:start w:val="1"/>
      <w:numFmt w:val="decimal"/>
      <w:pStyle w:val="ListBullet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2EC"/>
    <w:multiLevelType w:val="multilevel"/>
    <w:tmpl w:val="6F28B9FE"/>
    <w:lvl w:ilvl="0">
      <w:start w:val="1"/>
      <w:numFmt w:val="decimal"/>
      <w:pStyle w:val="ListBullet"/>
      <w:lvlText w:val="%1."/>
      <w:lvlJc w:val="left"/>
      <w:pPr>
        <w:ind w:left="50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22605C4"/>
    <w:multiLevelType w:val="multilevel"/>
    <w:tmpl w:val="5F6AC81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3755BD7"/>
    <w:multiLevelType w:val="multilevel"/>
    <w:tmpl w:val="27FEC2BE"/>
    <w:lvl w:ilvl="0">
      <w:start w:val="1"/>
      <w:numFmt w:val="decimal"/>
      <w:pStyle w:val="ListNumber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5595F83"/>
    <w:multiLevelType w:val="multilevel"/>
    <w:tmpl w:val="F13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F75F2"/>
    <w:multiLevelType w:val="multilevel"/>
    <w:tmpl w:val="2BF84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DD974EB"/>
    <w:multiLevelType w:val="multilevel"/>
    <w:tmpl w:val="79260D9C"/>
    <w:lvl w:ilvl="0">
      <w:start w:val="1"/>
      <w:numFmt w:val="decimal"/>
      <w:pStyle w:val="ListNumber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1064514"/>
    <w:multiLevelType w:val="multilevel"/>
    <w:tmpl w:val="C5EC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E7E88"/>
    <w:multiLevelType w:val="multilevel"/>
    <w:tmpl w:val="F368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B6F8D"/>
    <w:multiLevelType w:val="multilevel"/>
    <w:tmpl w:val="63B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A0112"/>
    <w:multiLevelType w:val="multilevel"/>
    <w:tmpl w:val="8738FA66"/>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A06160B"/>
    <w:multiLevelType w:val="multilevel"/>
    <w:tmpl w:val="A770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45438"/>
    <w:multiLevelType w:val="multilevel"/>
    <w:tmpl w:val="3D2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513F5"/>
    <w:multiLevelType w:val="multilevel"/>
    <w:tmpl w:val="8D7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216772">
    <w:abstractNumId w:val="16"/>
  </w:num>
  <w:num w:numId="2" w16cid:durableId="703019511">
    <w:abstractNumId w:val="12"/>
  </w:num>
  <w:num w:numId="3" w16cid:durableId="1481458919">
    <w:abstractNumId w:val="15"/>
  </w:num>
  <w:num w:numId="4" w16cid:durableId="1955945248">
    <w:abstractNumId w:val="10"/>
  </w:num>
  <w:num w:numId="5" w16cid:durableId="1813211855">
    <w:abstractNumId w:val="25"/>
  </w:num>
  <w:num w:numId="6" w16cid:durableId="2036150032">
    <w:abstractNumId w:val="18"/>
  </w:num>
  <w:num w:numId="7" w16cid:durableId="1227496364">
    <w:abstractNumId w:val="21"/>
  </w:num>
  <w:num w:numId="8" w16cid:durableId="1461218180">
    <w:abstractNumId w:val="8"/>
  </w:num>
  <w:num w:numId="9" w16cid:durableId="663047230">
    <w:abstractNumId w:val="20"/>
  </w:num>
  <w:num w:numId="10" w16cid:durableId="2097898441">
    <w:abstractNumId w:val="4"/>
  </w:num>
  <w:num w:numId="11" w16cid:durableId="1389843856">
    <w:abstractNumId w:val="17"/>
  </w:num>
  <w:num w:numId="12" w16cid:durableId="1631126518">
    <w:abstractNumId w:val="0"/>
  </w:num>
  <w:num w:numId="13" w16cid:durableId="2046251517">
    <w:abstractNumId w:val="16"/>
  </w:num>
  <w:num w:numId="14" w16cid:durableId="128786588">
    <w:abstractNumId w:val="16"/>
  </w:num>
  <w:num w:numId="15" w16cid:durableId="359860424">
    <w:abstractNumId w:val="16"/>
  </w:num>
  <w:num w:numId="16" w16cid:durableId="1008368971">
    <w:abstractNumId w:val="16"/>
  </w:num>
  <w:num w:numId="17" w16cid:durableId="1585143525">
    <w:abstractNumId w:val="1"/>
  </w:num>
  <w:num w:numId="18" w16cid:durableId="273052190">
    <w:abstractNumId w:val="14"/>
  </w:num>
  <w:num w:numId="19" w16cid:durableId="1059864811">
    <w:abstractNumId w:val="28"/>
  </w:num>
  <w:num w:numId="20" w16cid:durableId="1781148644">
    <w:abstractNumId w:val="2"/>
  </w:num>
  <w:num w:numId="21" w16cid:durableId="1440877948">
    <w:abstractNumId w:val="24"/>
  </w:num>
  <w:num w:numId="22" w16cid:durableId="499345653">
    <w:abstractNumId w:val="3"/>
  </w:num>
  <w:num w:numId="23" w16cid:durableId="1684746080">
    <w:abstractNumId w:val="13"/>
  </w:num>
  <w:num w:numId="24" w16cid:durableId="2102605164">
    <w:abstractNumId w:val="19"/>
  </w:num>
  <w:num w:numId="25" w16cid:durableId="991835518">
    <w:abstractNumId w:val="6"/>
  </w:num>
  <w:num w:numId="26" w16cid:durableId="1562788679">
    <w:abstractNumId w:val="27"/>
  </w:num>
  <w:num w:numId="27" w16cid:durableId="1361737497">
    <w:abstractNumId w:val="7"/>
  </w:num>
  <w:num w:numId="28" w16cid:durableId="1259871863">
    <w:abstractNumId w:val="9"/>
  </w:num>
  <w:num w:numId="29" w16cid:durableId="110058880">
    <w:abstractNumId w:val="23"/>
  </w:num>
  <w:num w:numId="30" w16cid:durableId="1177116534">
    <w:abstractNumId w:val="11"/>
  </w:num>
  <w:num w:numId="31" w16cid:durableId="747307394">
    <w:abstractNumId w:val="26"/>
  </w:num>
  <w:num w:numId="32" w16cid:durableId="1562908633">
    <w:abstractNumId w:val="5"/>
  </w:num>
  <w:num w:numId="33" w16cid:durableId="7750953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1E5"/>
    <w:rsid w:val="0003649E"/>
    <w:rsid w:val="0006542D"/>
    <w:rsid w:val="00082558"/>
    <w:rsid w:val="000B48C0"/>
    <w:rsid w:val="000E36C3"/>
    <w:rsid w:val="00134B51"/>
    <w:rsid w:val="0021047D"/>
    <w:rsid w:val="00213B55"/>
    <w:rsid w:val="0022095A"/>
    <w:rsid w:val="0025255E"/>
    <w:rsid w:val="00263EF4"/>
    <w:rsid w:val="00325069"/>
    <w:rsid w:val="003912C6"/>
    <w:rsid w:val="00396D89"/>
    <w:rsid w:val="003E7896"/>
    <w:rsid w:val="00450773"/>
    <w:rsid w:val="00455770"/>
    <w:rsid w:val="004C6A79"/>
    <w:rsid w:val="005148F5"/>
    <w:rsid w:val="0057074E"/>
    <w:rsid w:val="005721E5"/>
    <w:rsid w:val="00594CDF"/>
    <w:rsid w:val="005E213F"/>
    <w:rsid w:val="00650F54"/>
    <w:rsid w:val="00690822"/>
    <w:rsid w:val="0070161A"/>
    <w:rsid w:val="00717A8A"/>
    <w:rsid w:val="00783D95"/>
    <w:rsid w:val="007B0FFA"/>
    <w:rsid w:val="007D1325"/>
    <w:rsid w:val="007F0562"/>
    <w:rsid w:val="008C3E5C"/>
    <w:rsid w:val="00914D06"/>
    <w:rsid w:val="009A53ED"/>
    <w:rsid w:val="009E7432"/>
    <w:rsid w:val="00A077A5"/>
    <w:rsid w:val="00A4551D"/>
    <w:rsid w:val="00A64A7A"/>
    <w:rsid w:val="00AA47CB"/>
    <w:rsid w:val="00AA5D37"/>
    <w:rsid w:val="00AA6099"/>
    <w:rsid w:val="00AB381C"/>
    <w:rsid w:val="00AE7E1B"/>
    <w:rsid w:val="00B31ECD"/>
    <w:rsid w:val="00B34A31"/>
    <w:rsid w:val="00C26A75"/>
    <w:rsid w:val="00C3785D"/>
    <w:rsid w:val="00CB1B75"/>
    <w:rsid w:val="00CC0001"/>
    <w:rsid w:val="00CC1AA9"/>
    <w:rsid w:val="00CE6704"/>
    <w:rsid w:val="00CE7693"/>
    <w:rsid w:val="00D8161B"/>
    <w:rsid w:val="00D8705C"/>
    <w:rsid w:val="00DA3072"/>
    <w:rsid w:val="00E068F3"/>
    <w:rsid w:val="00E5054C"/>
    <w:rsid w:val="00E8192A"/>
    <w:rsid w:val="00F005CF"/>
    <w:rsid w:val="00F0506A"/>
    <w:rsid w:val="00F57023"/>
    <w:rsid w:val="00F64DAB"/>
    <w:rsid w:val="00FB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0FAB"/>
  <w15:docId w15:val="{3350B138-D3DF-AA4E-92E6-5F189495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Balk1Char">
    <w:name w:val="Başlık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Balk4Char">
    <w:name w:val="Başlık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A6DA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1"/>
    <w:tblPr>
      <w:tblStyleRowBandSize w:val="1"/>
      <w:tblStyleColBandSize w:val="1"/>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0">
    <w:basedOn w:val="TableNormal1"/>
    <w:tblPr>
      <w:tblStyleRowBandSize w:val="1"/>
      <w:tblStyleColBandSize w:val="1"/>
    </w:tblPr>
  </w:style>
  <w:style w:type="paragraph" w:styleId="Revision">
    <w:name w:val="Revision"/>
    <w:hidden/>
    <w:uiPriority w:val="99"/>
    <w:semiHidden/>
    <w:rsid w:val="00E8192A"/>
    <w:pPr>
      <w:spacing w:after="0" w:line="240" w:lineRule="auto"/>
    </w:pPr>
  </w:style>
  <w:style w:type="character" w:styleId="CommentReference">
    <w:name w:val="annotation reference"/>
    <w:basedOn w:val="DefaultParagraphFont"/>
    <w:uiPriority w:val="99"/>
    <w:semiHidden/>
    <w:unhideWhenUsed/>
    <w:rsid w:val="00E8192A"/>
    <w:rPr>
      <w:sz w:val="16"/>
      <w:szCs w:val="16"/>
    </w:rPr>
  </w:style>
  <w:style w:type="paragraph" w:styleId="CommentText">
    <w:name w:val="annotation text"/>
    <w:basedOn w:val="Normal"/>
    <w:link w:val="CommentTextChar"/>
    <w:uiPriority w:val="99"/>
    <w:unhideWhenUsed/>
    <w:rsid w:val="00E8192A"/>
    <w:pPr>
      <w:spacing w:line="240" w:lineRule="auto"/>
    </w:pPr>
    <w:rPr>
      <w:sz w:val="20"/>
      <w:szCs w:val="20"/>
    </w:rPr>
  </w:style>
  <w:style w:type="character" w:customStyle="1" w:styleId="CommentTextChar">
    <w:name w:val="Comment Text Char"/>
    <w:basedOn w:val="DefaultParagraphFont"/>
    <w:link w:val="CommentText"/>
    <w:uiPriority w:val="99"/>
    <w:rsid w:val="00E8192A"/>
    <w:rPr>
      <w:sz w:val="20"/>
      <w:szCs w:val="20"/>
    </w:rPr>
  </w:style>
  <w:style w:type="paragraph" w:styleId="CommentSubject">
    <w:name w:val="annotation subject"/>
    <w:basedOn w:val="CommentText"/>
    <w:next w:val="CommentText"/>
    <w:link w:val="CommentSubjectChar"/>
    <w:uiPriority w:val="99"/>
    <w:semiHidden/>
    <w:unhideWhenUsed/>
    <w:rsid w:val="00E8192A"/>
    <w:rPr>
      <w:b/>
      <w:bCs/>
    </w:rPr>
  </w:style>
  <w:style w:type="character" w:customStyle="1" w:styleId="CommentSubjectChar">
    <w:name w:val="Comment Subject Char"/>
    <w:basedOn w:val="CommentTextChar"/>
    <w:link w:val="CommentSubject"/>
    <w:uiPriority w:val="99"/>
    <w:semiHidden/>
    <w:rsid w:val="00E8192A"/>
    <w:rPr>
      <w:b/>
      <w:bCs/>
      <w:sz w:val="20"/>
      <w:szCs w:val="20"/>
    </w:rPr>
  </w:style>
  <w:style w:type="table" w:styleId="GridTable2-Accent1">
    <w:name w:val="Grid Table 2 Accent 1"/>
    <w:basedOn w:val="TableNormal"/>
    <w:uiPriority w:val="47"/>
    <w:rsid w:val="003912C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3912C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3912C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AB381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2">
    <w:name w:val="p2"/>
    <w:basedOn w:val="Normal"/>
    <w:rsid w:val="00AB381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AB381C"/>
  </w:style>
  <w:style w:type="character" w:customStyle="1" w:styleId="s1">
    <w:name w:val="s1"/>
    <w:basedOn w:val="DefaultParagraphFont"/>
    <w:rsid w:val="00AB381C"/>
  </w:style>
  <w:style w:type="paragraph" w:styleId="FootnoteText">
    <w:name w:val="footnote text"/>
    <w:basedOn w:val="Normal"/>
    <w:link w:val="FootnoteTextChar"/>
    <w:uiPriority w:val="99"/>
    <w:semiHidden/>
    <w:unhideWhenUsed/>
    <w:rsid w:val="00CE76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7693"/>
    <w:rPr>
      <w:sz w:val="20"/>
      <w:szCs w:val="20"/>
    </w:rPr>
  </w:style>
  <w:style w:type="character" w:styleId="FootnoteReference">
    <w:name w:val="footnote reference"/>
    <w:basedOn w:val="DefaultParagraphFont"/>
    <w:uiPriority w:val="99"/>
    <w:semiHidden/>
    <w:unhideWhenUsed/>
    <w:rsid w:val="00CE7693"/>
    <w:rPr>
      <w:vertAlign w:val="superscript"/>
    </w:rPr>
  </w:style>
  <w:style w:type="paragraph" w:customStyle="1" w:styleId="p3">
    <w:name w:val="p3"/>
    <w:basedOn w:val="Normal"/>
    <w:rsid w:val="00F64DA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2">
    <w:name w:val="s2"/>
    <w:basedOn w:val="DefaultParagraphFont"/>
    <w:rsid w:val="0070161A"/>
  </w:style>
  <w:style w:type="character" w:styleId="Hyperlink">
    <w:name w:val="Hyperlink"/>
    <w:basedOn w:val="DefaultParagraphFont"/>
    <w:uiPriority w:val="99"/>
    <w:semiHidden/>
    <w:unhideWhenUsed/>
    <w:rsid w:val="0070161A"/>
    <w:rPr>
      <w:color w:val="0000FF"/>
      <w:u w:val="single"/>
    </w:rPr>
  </w:style>
  <w:style w:type="paragraph" w:customStyle="1" w:styleId="p4">
    <w:name w:val="p4"/>
    <w:basedOn w:val="Normal"/>
    <w:rsid w:val="00396D8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QfgeFLFer4j13D12Dz1OZMMVQ==">CgMxLjAaHwoBMBIaChgICVIUChJ0YWJsZS5wcW5mOHJhdzNjdTIyDmgubHh6MnFlanMwcnZmOAByITFqZFQtMThITDlULWUtLWw5RTEzYzVRUVJHOWZHOHhSVw==</go:docsCustomData>
</go:gDocsCustomXmlDataStorage>
</file>

<file path=customXml/itemProps1.xml><?xml version="1.0" encoding="utf-8"?>
<ds:datastoreItem xmlns:ds="http://schemas.openxmlformats.org/officeDocument/2006/customXml" ds:itemID="{3899FD67-E73F-7546-A6EC-EEB5166293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5545</Words>
  <Characters>31613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Joseph Stewart</cp:lastModifiedBy>
  <cp:revision>2</cp:revision>
  <dcterms:created xsi:type="dcterms:W3CDTF">2026-03-30T02:07:00Z</dcterms:created>
  <dcterms:modified xsi:type="dcterms:W3CDTF">2026-03-30T02:07:00Z</dcterms:modified>
</cp:coreProperties>
</file>