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SPUF Part D Analysis Brief</w:t>
      </w:r>
    </w:p>
    <w:p>
      <w:r>
        <w:t>Date: April 22, 2026</w:t>
      </w:r>
    </w:p>
    <w:p>
      <w:r>
        <w:t>Audience: Market access, payer strategy, reimbursement, and policy stakeholders.</w:t>
      </w:r>
    </w:p>
    <w:p>
      <w:r>
        <w:rPr>
          <w:b/>
        </w:rPr>
        <w:t>Executive summary</w:t>
      </w:r>
    </w:p>
    <w:p>
      <w:r>
        <w:t>The strongest signal across the current SPUF windows is that quarter-over-quarter movement is not uniform. The 2025Q3 to 2025Q4 pair behaves like a stable panel, while 2025Q4 to 2026Q1 shows high composition churn. This changes how pricing movement should be interpreted and supports a decomposition-first narrative. Generic tier movement, sponsor clustering, and PBM channel fingerprints provide the most publishable website story set.</w:t>
      </w:r>
    </w:p>
    <w:p>
      <w:pPr>
        <w:pStyle w:val="Heading1"/>
      </w:pPr>
      <w:r>
        <w:t>1) Repricing vs churn decomposition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Pair</w:t>
            </w:r>
          </w:p>
        </w:tc>
        <w:tc>
          <w:tcPr>
            <w:tcW w:type="dxa" w:w="1728"/>
          </w:tcPr>
          <w:p>
            <w:r>
              <w:t>Matched share</w:t>
            </w:r>
          </w:p>
        </w:tc>
        <w:tc>
          <w:tcPr>
            <w:tcW w:type="dxa" w:w="1728"/>
          </w:tcPr>
          <w:p>
            <w:r>
              <w:t>Add/drop share</w:t>
            </w:r>
          </w:p>
        </w:tc>
        <w:tc>
          <w:tcPr>
            <w:tcW w:type="dxa" w:w="1728"/>
          </w:tcPr>
          <w:p>
            <w:r>
              <w:t>Repriced share of matched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</w:tr>
      <w:tr>
        <w:tc>
          <w:tcPr>
            <w:tcW w:type="dxa" w:w="1728"/>
          </w:tcPr>
          <w:p>
            <w:r>
              <w:t>2025Q3_to_2025Q4</w:t>
            </w:r>
          </w:p>
        </w:tc>
        <w:tc>
          <w:tcPr>
            <w:tcW w:type="dxa" w:w="1728"/>
          </w:tcPr>
          <w:p>
            <w:r>
              <w:t>94.48%</w:t>
            </w:r>
          </w:p>
        </w:tc>
        <w:tc>
          <w:tcPr>
            <w:tcW w:type="dxa" w:w="1728"/>
          </w:tcPr>
          <w:p>
            <w:r>
              <w:t>5.52%</w:t>
            </w:r>
          </w:p>
        </w:tc>
        <w:tc>
          <w:tcPr>
            <w:tcW w:type="dxa" w:w="1728"/>
          </w:tcPr>
          <w:p>
            <w:r>
              <w:t>69.73%</w:t>
            </w:r>
          </w:p>
        </w:tc>
        <w:tc>
          <w:tcPr>
            <w:tcW w:type="dxa" w:w="1728"/>
          </w:tcPr>
          <w:p>
            <w:r>
              <w:t>Higher continuity baseline</w:t>
            </w:r>
          </w:p>
        </w:tc>
      </w:tr>
      <w:tr>
        <w:tc>
          <w:tcPr>
            <w:tcW w:type="dxa" w:w="1728"/>
          </w:tcPr>
          <w:p>
            <w:r>
              <w:t>2025Q4_to_2026Q1</w:t>
            </w:r>
          </w:p>
        </w:tc>
        <w:tc>
          <w:tcPr>
            <w:tcW w:type="dxa" w:w="1728"/>
          </w:tcPr>
          <w:p>
            <w:r>
              <w:t>59.81%</w:t>
            </w:r>
          </w:p>
        </w:tc>
        <w:tc>
          <w:tcPr>
            <w:tcW w:type="dxa" w:w="1728"/>
          </w:tcPr>
          <w:p>
            <w:r>
              <w:t>40.19%</w:t>
            </w:r>
          </w:p>
        </w:tc>
        <w:tc>
          <w:tcPr>
            <w:tcW w:type="dxa" w:w="1728"/>
          </w:tcPr>
          <w:p>
            <w:r>
              <w:t>95.79%</w:t>
            </w:r>
          </w:p>
        </w:tc>
        <w:tc>
          <w:tcPr>
            <w:tcW w:type="dxa" w:w="1728"/>
          </w:tcPr>
          <w:p>
            <w:r>
              <w:t>High churn regime, decomposition required</w:t>
            </w:r>
          </w:p>
        </w:tc>
      </w:tr>
    </w:tbl>
    <w:p>
      <w:pPr>
        <w:pStyle w:val="Heading1"/>
      </w:pPr>
      <w:r>
        <w:t>2) Generic tier worsening with same-NDC controls</w:t>
      </w:r>
    </w:p>
    <w:p>
      <w:r>
        <w:t>Local generic QoQ outputs support a controlled narrative where tier worsening can occur even when same-NDC price changes are not uniformly inflationary. This is best framed as access friction under mixed repricing and mix-shift effects, with explicit caveats.</w:t>
      </w:r>
    </w:p>
    <w:p>
      <w:pPr>
        <w:pStyle w:val="Heading1"/>
      </w:pPr>
      <w:r>
        <w:t>3) Sponsor segmentation</w:t>
      </w:r>
    </w:p>
    <w:p>
      <w:r>
        <w:t>Observed segment counts in 2025Q4 to 2026Q1: churn_dominant: 111, mixed_high_activity: 110, mixed_moderate: 20, repricing_dominant: 185.</w:t>
      </w:r>
    </w:p>
    <w:p>
      <w:r>
        <w:t>Interpretation: sponsor behavior is heterogeneous and supports cluster-based story framing, not one market-average narrative.</w:t>
      </w:r>
    </w:p>
    <w:p>
      <w:pPr>
        <w:pStyle w:val="Heading1"/>
      </w:pPr>
      <w:r>
        <w:t>4) PBM mail/retail channel profile</w:t>
      </w:r>
    </w:p>
    <w:p>
      <w:r>
        <w:t>PBM-level channel outputs provide a cross-sectional profile suitable for an Insight article. Claims should stay descriptive and avoid inferred intent without longitudinal confirmation.</w:t>
      </w:r>
    </w:p>
    <w:p>
      <w:pPr>
        <w:pStyle w:val="Heading1"/>
      </w:pPr>
      <w:r>
        <w:t>5) Beneficiary cost-sharing and tier linkage</w:t>
      </w:r>
    </w:p>
    <w:p>
      <w:r>
        <w:t>A join-heavy linkage between plan-formulary tier structure and beneficiary design fields was executed for 2025Q4 and 2026Q1. Tier-level deductible-applies shares moved materially in upper tiers in this derived aggregation. Preferred cost amount fields were mostly zero in this extraction path, so cost trend claims require additional field-level validation before publication.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NDC row delta</w:t>
            </w:r>
          </w:p>
        </w:tc>
        <w:tc>
          <w:tcPr>
            <w:tcW w:type="dxa" w:w="2160"/>
          </w:tcPr>
          <w:p>
            <w:r>
              <w:t>Deductible share delta</w:t>
            </w:r>
          </w:p>
        </w:tc>
        <w:tc>
          <w:tcPr>
            <w:tcW w:type="dxa" w:w="2160"/>
          </w:tcPr>
          <w:p>
            <w:r>
              <w:t>Plan count delta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-469640</w:t>
            </w:r>
          </w:p>
        </w:tc>
        <w:tc>
          <w:tcPr>
            <w:tcW w:type="dxa" w:w="2160"/>
          </w:tcPr>
          <w:p>
            <w:r>
              <w:t>-0.09419</w:t>
            </w:r>
          </w:p>
        </w:tc>
        <w:tc>
          <w:tcPr>
            <w:tcW w:type="dxa" w:w="2160"/>
          </w:tcPr>
          <w:p>
            <w:r>
              <w:t>-117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-192774</w:t>
            </w:r>
          </w:p>
        </w:tc>
        <w:tc>
          <w:tcPr>
            <w:tcW w:type="dxa" w:w="2160"/>
          </w:tcPr>
          <w:p>
            <w:r>
              <w:t>0.003163</w:t>
            </w:r>
          </w:p>
        </w:tc>
        <w:tc>
          <w:tcPr>
            <w:tcW w:type="dxa" w:w="2160"/>
          </w:tcPr>
          <w:p>
            <w:r>
              <w:t>-9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28770</w:t>
            </w:r>
          </w:p>
        </w:tc>
        <w:tc>
          <w:tcPr>
            <w:tcW w:type="dxa" w:w="2160"/>
          </w:tcPr>
          <w:p>
            <w:r>
              <w:t>0.163211</w:t>
            </w:r>
          </w:p>
        </w:tc>
        <w:tc>
          <w:tcPr>
            <w:tcW w:type="dxa" w:w="2160"/>
          </w:tcPr>
          <w:p>
            <w:r>
              <w:t>-6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-108280</w:t>
            </w:r>
          </w:p>
        </w:tc>
        <w:tc>
          <w:tcPr>
            <w:tcW w:type="dxa" w:w="2160"/>
          </w:tcPr>
          <w:p>
            <w:r>
              <w:t>0.185216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-116085</w:t>
            </w:r>
          </w:p>
        </w:tc>
        <w:tc>
          <w:tcPr>
            <w:tcW w:type="dxa" w:w="2160"/>
          </w:tcPr>
          <w:p>
            <w:r>
              <w:t>0.186658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48535</w:t>
            </w:r>
          </w:p>
        </w:tc>
        <w:tc>
          <w:tcPr>
            <w:tcW w:type="dxa" w:w="2160"/>
          </w:tcPr>
          <w:p>
            <w:r>
              <w:t>-0.053971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0.025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1"/>
      </w:pPr>
      <w:r>
        <w:t>Best website stories to publish</w:t>
      </w:r>
    </w:p>
    <w:p>
      <w:pPr>
        <w:pStyle w:val="ListBullet"/>
      </w:pPr>
      <w:r>
        <w:t>Repricing vs churn in Part D (Research)</w:t>
      </w:r>
    </w:p>
    <w:p>
      <w:pPr>
        <w:pStyle w:val="ListBullet"/>
      </w:pPr>
      <w:r>
        <w:t>Generic access friction despite stable same-NDC pricing (Research)</w:t>
      </w:r>
    </w:p>
    <w:p>
      <w:pPr>
        <w:pStyle w:val="ListBullet"/>
      </w:pPr>
      <w:r>
        <w:t>Sponsor behavioral clustering (Insight)</w:t>
      </w:r>
    </w:p>
    <w:p>
      <w:pPr>
        <w:pStyle w:val="ListBullet"/>
      </w:pPr>
      <w:r>
        <w:t>Generic coverage contraction signals (Insight)</w:t>
      </w:r>
    </w:p>
    <w:p>
      <w:pPr>
        <w:pStyle w:val="ListBullet"/>
      </w:pPr>
      <w:r>
        <w:t>PBM network/channel fingerprints (Insight)</w:t>
      </w:r>
    </w:p>
    <w:p>
      <w:pPr>
        <w:pStyle w:val="Heading1"/>
      </w:pPr>
      <w:r>
        <w:t>Sources used</w:t>
      </w:r>
    </w:p>
    <w:p>
      <w:pPr>
        <w:pStyle w:val="ListBullet"/>
      </w:pPr>
      <w:r>
        <w:t>/Volumes/SPUF/cms_partd_pricing_pipeline/data/analysis_full_parquet_metrics.json</w:t>
      </w:r>
    </w:p>
    <w:p>
      <w:pPr>
        <w:pStyle w:val="ListBullet"/>
      </w:pPr>
      <w:r>
        <w:t>/Volumes/SPUF/cms_partd_pricing_pipeline/data/analysis/generic_qoq/2025Q4_to_2026Q1/*</w:t>
      </w:r>
    </w:p>
    <w:p>
      <w:pPr>
        <w:pStyle w:val="ListBullet"/>
      </w:pPr>
      <w:r>
        <w:t>/Volumes/SPUF/cms_partd_pricing_pipeline/data/published/analysis/pricing_signals/2025Q4_to_2026Q1/*</w:t>
      </w:r>
    </w:p>
    <w:p>
      <w:pPr>
        <w:pStyle w:val="ListBullet"/>
      </w:pPr>
      <w:r>
        <w:t>/Volumes/SPUF/cms_partd_pricing_pipeline/data/analysis/pbm_channel_steering/2026Q1/*</w:t>
      </w:r>
    </w:p>
    <w:p>
      <w:pPr>
        <w:pStyle w:val="ListBullet"/>
      </w:pPr>
      <w:r>
        <w:t>/Volumes/SPUF/cms_partd_pricing_pipeline/data/extracted/2025Q4/*</w:t>
      </w:r>
    </w:p>
    <w:p>
      <w:pPr>
        <w:pStyle w:val="ListBullet"/>
      </w:pPr>
      <w:r>
        <w:t>/Volumes/SPUF/cms_partd_pricing_pipeline/data/extracted/2026Q1/*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