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SPUF Publication Dossier</w:t>
      </w:r>
    </w:p>
    <w:p>
      <w:r>
        <w:t>Date: April 22, 2026</w:t>
      </w:r>
    </w:p>
    <w:p>
      <w:r>
        <w:t>Prepared for: JL Policy Consulting publication pipeline</w:t>
      </w:r>
    </w:p>
    <w:p>
      <w:pPr>
        <w:pStyle w:val="Heading1"/>
      </w:pPr>
      <w:r>
        <w:t>Executive Summary</w:t>
      </w:r>
    </w:p>
    <w:p>
      <w:r>
        <w:t>The strongest publication-ready story in the current SPUF package is that selected low-cost generics appear to move to higher tiers while sponsor behavior remains highly active and heterogeneous. This pattern is consistent with economics defense through formulary design. The claim is inferential and should be presented with explicit observed-versus-inferred guardrails.</w:t>
      </w:r>
    </w:p>
    <w:p>
      <w:pPr>
        <w:pStyle w:val="Heading1"/>
      </w:pPr>
      <w:r>
        <w:t>Core Thesis and Claim Guardrail</w:t>
      </w:r>
    </w:p>
    <w:p>
      <w:r>
        <w:t>Lead thesis: Part D sponsors appear to be moving selected low-cost generics to higher tiers to protect plan economics under pressure.</w:t>
      </w:r>
    </w:p>
    <w:p>
      <w:r>
        <w:t>Guardrail: The analysis does not directly measure realized margin. It identifies behavior patterns consistent with margin-defense dynamics.</w:t>
      </w:r>
    </w:p>
    <w:p>
      <w:pPr>
        <w:pStyle w:val="Heading1"/>
      </w:pPr>
      <w:r>
        <w:t>Analysis Stream 1: Repricing vs Churn Decomposition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Pair</w:t>
            </w:r>
          </w:p>
        </w:tc>
        <w:tc>
          <w:tcPr>
            <w:tcW w:type="dxa" w:w="1728"/>
          </w:tcPr>
          <w:p>
            <w:r>
              <w:t>Matched share</w:t>
            </w:r>
          </w:p>
        </w:tc>
        <w:tc>
          <w:tcPr>
            <w:tcW w:type="dxa" w:w="1728"/>
          </w:tcPr>
          <w:p>
            <w:r>
              <w:t>Add/drop share</w:t>
            </w:r>
          </w:p>
        </w:tc>
        <w:tc>
          <w:tcPr>
            <w:tcW w:type="dxa" w:w="1728"/>
          </w:tcPr>
          <w:p>
            <w:r>
              <w:t>Repriced share of matched</w:t>
            </w:r>
          </w:p>
        </w:tc>
        <w:tc>
          <w:tcPr>
            <w:tcW w:type="dxa" w:w="1728"/>
          </w:tcPr>
          <w:p>
            <w:r>
              <w:t>Interpretive note</w:t>
            </w:r>
          </w:p>
        </w:tc>
      </w:tr>
      <w:tr>
        <w:tc>
          <w:tcPr>
            <w:tcW w:type="dxa" w:w="1728"/>
          </w:tcPr>
          <w:p>
            <w:r>
              <w:t>2025Q3_to_2025Q4</w:t>
            </w:r>
          </w:p>
        </w:tc>
        <w:tc>
          <w:tcPr>
            <w:tcW w:type="dxa" w:w="1728"/>
          </w:tcPr>
          <w:p>
            <w:r>
              <w:t>94.48%</w:t>
            </w:r>
          </w:p>
        </w:tc>
        <w:tc>
          <w:tcPr>
            <w:tcW w:type="dxa" w:w="1728"/>
          </w:tcPr>
          <w:p>
            <w:r>
              <w:t>5.52%</w:t>
            </w:r>
          </w:p>
        </w:tc>
        <w:tc>
          <w:tcPr>
            <w:tcW w:type="dxa" w:w="1728"/>
          </w:tcPr>
          <w:p>
            <w:r>
              <w:t>69.73%</w:t>
            </w:r>
          </w:p>
        </w:tc>
        <w:tc>
          <w:tcPr>
            <w:tcW w:type="dxa" w:w="1728"/>
          </w:tcPr>
          <w:p>
            <w:r>
              <w:t>Stable continuity baseline</w:t>
            </w:r>
          </w:p>
        </w:tc>
      </w:tr>
      <w:tr>
        <w:tc>
          <w:tcPr>
            <w:tcW w:type="dxa" w:w="1728"/>
          </w:tcPr>
          <w:p>
            <w:r>
              <w:t>2025Q4_to_2026Q1</w:t>
            </w:r>
          </w:p>
        </w:tc>
        <w:tc>
          <w:tcPr>
            <w:tcW w:type="dxa" w:w="1728"/>
          </w:tcPr>
          <w:p>
            <w:r>
              <w:t>59.81%</w:t>
            </w:r>
          </w:p>
        </w:tc>
        <w:tc>
          <w:tcPr>
            <w:tcW w:type="dxa" w:w="1728"/>
          </w:tcPr>
          <w:p>
            <w:r>
              <w:t>40.19%</w:t>
            </w:r>
          </w:p>
        </w:tc>
        <w:tc>
          <w:tcPr>
            <w:tcW w:type="dxa" w:w="1728"/>
          </w:tcPr>
          <w:p>
            <w:r>
              <w:t>95.79%</w:t>
            </w:r>
          </w:p>
        </w:tc>
        <w:tc>
          <w:tcPr>
            <w:tcW w:type="dxa" w:w="1728"/>
          </w:tcPr>
          <w:p>
            <w:r>
              <w:t>High churn regime, decomposition required</w:t>
            </w:r>
          </w:p>
        </w:tc>
      </w:tr>
    </w:tbl>
    <w:p>
      <w:r>
        <w:t>Interpretation: The second window is composition-heavy and can distort headline pricing narratives. Publication copy should always pair headline movement with mechanism split.</w:t>
      </w:r>
    </w:p>
    <w:p>
      <w:pPr>
        <w:pStyle w:val="Heading1"/>
      </w:pPr>
      <w:r>
        <w:t>Analysis Stream 2: Generic Tier Worsening with Same-NDC Controls</w:t>
      </w:r>
    </w:p>
    <w:p>
      <w:r>
        <w:t>The package includes low-cost generic concept outputs where tier pressure remains visible under same-NDC controls. This reduces false attribution risk and supports access-friction framing beyond direct price movement.</w:t>
      </w:r>
    </w:p>
    <w:p>
      <w:pPr>
        <w:pStyle w:val="Heading1"/>
      </w:pPr>
      <w:r>
        <w:t>Analysis Stream 3: Sponsor Segmentation</w:t>
      </w:r>
    </w:p>
    <w:p>
      <w:r>
        <w:t>Sponsor behavioral segmentation counts in 2025Q4 to 2026Q1:</w:t>
      </w:r>
    </w:p>
    <w:p>
      <w:pPr>
        <w:pStyle w:val="ListBullet"/>
      </w:pPr>
      <w:r>
        <w:t>churn_dominant: 111</w:t>
      </w:r>
    </w:p>
    <w:p>
      <w:pPr>
        <w:pStyle w:val="ListBullet"/>
      </w:pPr>
      <w:r>
        <w:t>mixed_high_activity: 110</w:t>
      </w:r>
    </w:p>
    <w:p>
      <w:pPr>
        <w:pStyle w:val="ListBullet"/>
      </w:pPr>
      <w:r>
        <w:t>mixed_moderate: 20</w:t>
      </w:r>
    </w:p>
    <w:p>
      <w:pPr>
        <w:pStyle w:val="ListBullet"/>
      </w:pPr>
      <w:r>
        <w:t>repricing_dominant: 185</w:t>
      </w:r>
    </w:p>
    <w:p>
      <w:r>
        <w:t>Interpretation: sponsor behavior is heterogeneous. A watchlist model based on overlap between sponsor activity and low-cost generic tier pressure is more actionable than broad market averages.</w:t>
      </w:r>
    </w:p>
    <w:p>
      <w:pPr>
        <w:pStyle w:val="Heading1"/>
      </w:pPr>
      <w:r>
        <w:t>Analysis Stream 4: PBM Channel Profile</w:t>
      </w:r>
    </w:p>
    <w:p>
      <w:r>
        <w:t>PBM mail versus retail channel outputs are available at a cross-sectional plan-type split. This supports a compact Insight article with descriptive framing and no intent attribution.</w:t>
      </w:r>
    </w:p>
    <w:p>
      <w:pPr>
        <w:pStyle w:val="Heading1"/>
      </w:pPr>
      <w:r>
        <w:t>Analysis Stream 5: Beneficiary Cost-Sharing and Tier Linkage</w:t>
      </w:r>
    </w:p>
    <w:p>
      <w:r>
        <w:t>Tier-linked beneficiary design outputs are present across 2025Q4 and 2026Q1. Deductible-applies share shifts are visible in derived tables. Preferred cost amount fields are sparse in this extraction path and should be caveated before publication.</w:t>
      </w:r>
    </w:p>
    <w:tbl>
      <w:tblPr>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NDC row delta</w:t>
            </w:r>
          </w:p>
        </w:tc>
        <w:tc>
          <w:tcPr>
            <w:tcW w:type="dxa" w:w="2160"/>
          </w:tcPr>
          <w:p>
            <w:r>
              <w:t>Deductible share delta</w:t>
            </w:r>
          </w:p>
        </w:tc>
        <w:tc>
          <w:tcPr>
            <w:tcW w:type="dxa" w:w="2160"/>
          </w:tcPr>
          <w:p>
            <w:r>
              <w:t>Plan count delta</w:t>
            </w:r>
          </w:p>
        </w:tc>
      </w:tr>
      <w:tr>
        <w:tc>
          <w:tcPr>
            <w:tcW w:type="dxa" w:w="2160"/>
          </w:tcPr>
          <w:p>
            <w:r>
              <w:t>1</w:t>
            </w:r>
          </w:p>
        </w:tc>
        <w:tc>
          <w:tcPr>
            <w:tcW w:type="dxa" w:w="2160"/>
          </w:tcPr>
          <w:p>
            <w:r>
              <w:t>-469640</w:t>
            </w:r>
          </w:p>
        </w:tc>
        <w:tc>
          <w:tcPr>
            <w:tcW w:type="dxa" w:w="2160"/>
          </w:tcPr>
          <w:p>
            <w:r>
              <w:t>-0.09419</w:t>
            </w:r>
          </w:p>
        </w:tc>
        <w:tc>
          <w:tcPr>
            <w:tcW w:type="dxa" w:w="2160"/>
          </w:tcPr>
          <w:p>
            <w:r>
              <w:t>-117</w:t>
            </w:r>
          </w:p>
        </w:tc>
      </w:tr>
      <w:tr>
        <w:tc>
          <w:tcPr>
            <w:tcW w:type="dxa" w:w="2160"/>
          </w:tcPr>
          <w:p>
            <w:r>
              <w:t>2</w:t>
            </w:r>
          </w:p>
        </w:tc>
        <w:tc>
          <w:tcPr>
            <w:tcW w:type="dxa" w:w="2160"/>
          </w:tcPr>
          <w:p>
            <w:r>
              <w:t>-192774</w:t>
            </w:r>
          </w:p>
        </w:tc>
        <w:tc>
          <w:tcPr>
            <w:tcW w:type="dxa" w:w="2160"/>
          </w:tcPr>
          <w:p>
            <w:r>
              <w:t>0.003163</w:t>
            </w:r>
          </w:p>
        </w:tc>
        <w:tc>
          <w:tcPr>
            <w:tcW w:type="dxa" w:w="2160"/>
          </w:tcPr>
          <w:p>
            <w:r>
              <w:t>-9</w:t>
            </w:r>
          </w:p>
        </w:tc>
      </w:tr>
      <w:tr>
        <w:tc>
          <w:tcPr>
            <w:tcW w:type="dxa" w:w="2160"/>
          </w:tcPr>
          <w:p>
            <w:r>
              <w:t>3</w:t>
            </w:r>
          </w:p>
        </w:tc>
        <w:tc>
          <w:tcPr>
            <w:tcW w:type="dxa" w:w="2160"/>
          </w:tcPr>
          <w:p>
            <w:r>
              <w:t>28770</w:t>
            </w:r>
          </w:p>
        </w:tc>
        <w:tc>
          <w:tcPr>
            <w:tcW w:type="dxa" w:w="2160"/>
          </w:tcPr>
          <w:p>
            <w:r>
              <w:t>0.163211</w:t>
            </w:r>
          </w:p>
        </w:tc>
        <w:tc>
          <w:tcPr>
            <w:tcW w:type="dxa" w:w="2160"/>
          </w:tcPr>
          <w:p>
            <w:r>
              <w:t>-6</w:t>
            </w:r>
          </w:p>
        </w:tc>
      </w:tr>
      <w:tr>
        <w:tc>
          <w:tcPr>
            <w:tcW w:type="dxa" w:w="2160"/>
          </w:tcPr>
          <w:p>
            <w:r>
              <w:t>4</w:t>
            </w:r>
          </w:p>
        </w:tc>
        <w:tc>
          <w:tcPr>
            <w:tcW w:type="dxa" w:w="2160"/>
          </w:tcPr>
          <w:p>
            <w:r>
              <w:t>-108280</w:t>
            </w:r>
          </w:p>
        </w:tc>
        <w:tc>
          <w:tcPr>
            <w:tcW w:type="dxa" w:w="2160"/>
          </w:tcPr>
          <w:p>
            <w:r>
              <w:t>0.185216</w:t>
            </w:r>
          </w:p>
        </w:tc>
        <w:tc>
          <w:tcPr>
            <w:tcW w:type="dxa" w:w="2160"/>
          </w:tcPr>
          <w:p>
            <w:r>
              <w:t>17</w:t>
            </w:r>
          </w:p>
        </w:tc>
      </w:tr>
      <w:tr>
        <w:tc>
          <w:tcPr>
            <w:tcW w:type="dxa" w:w="2160"/>
          </w:tcPr>
          <w:p>
            <w:r>
              <w:t>5</w:t>
            </w:r>
          </w:p>
        </w:tc>
        <w:tc>
          <w:tcPr>
            <w:tcW w:type="dxa" w:w="2160"/>
          </w:tcPr>
          <w:p>
            <w:r>
              <w:t>-116085</w:t>
            </w:r>
          </w:p>
        </w:tc>
        <w:tc>
          <w:tcPr>
            <w:tcW w:type="dxa" w:w="2160"/>
          </w:tcPr>
          <w:p>
            <w:r>
              <w:t>0.186658</w:t>
            </w:r>
          </w:p>
        </w:tc>
        <w:tc>
          <w:tcPr>
            <w:tcW w:type="dxa" w:w="2160"/>
          </w:tcPr>
          <w:p>
            <w:r>
              <w:t>18</w:t>
            </w:r>
          </w:p>
        </w:tc>
      </w:tr>
      <w:tr>
        <w:tc>
          <w:tcPr>
            <w:tcW w:type="dxa" w:w="2160"/>
          </w:tcPr>
          <w:p>
            <w:r>
              <w:t>6</w:t>
            </w:r>
          </w:p>
        </w:tc>
        <w:tc>
          <w:tcPr>
            <w:tcW w:type="dxa" w:w="2160"/>
          </w:tcPr>
          <w:p>
            <w:r>
              <w:t>48535</w:t>
            </w:r>
          </w:p>
        </w:tc>
        <w:tc>
          <w:tcPr>
            <w:tcW w:type="dxa" w:w="2160"/>
          </w:tcPr>
          <w:p>
            <w:r>
              <w:t>-0.053971</w:t>
            </w:r>
          </w:p>
        </w:tc>
        <w:tc>
          <w:tcPr>
            <w:tcW w:type="dxa" w:w="2160"/>
          </w:tcPr>
          <w:p>
            <w:r>
              <w:t>340</w:t>
            </w:r>
          </w:p>
        </w:tc>
      </w:tr>
      <w:tr>
        <w:tc>
          <w:tcPr>
            <w:tcW w:type="dxa" w:w="2160"/>
          </w:tcPr>
          <w:p>
            <w:r>
              <w:t>7</w:t>
            </w:r>
          </w:p>
        </w:tc>
        <w:tc>
          <w:tcPr>
            <w:tcW w:type="dxa" w:w="2160"/>
          </w:tcPr>
          <w:p>
            <w:r>
              <w:t>172</w:t>
            </w:r>
          </w:p>
        </w:tc>
        <w:tc>
          <w:tcPr>
            <w:tcW w:type="dxa" w:w="2160"/>
          </w:tcPr>
          <w:p>
            <w:r>
              <w:t>0.025</w:t>
            </w:r>
          </w:p>
        </w:tc>
        <w:tc>
          <w:tcPr>
            <w:tcW w:type="dxa" w:w="2160"/>
          </w:tcPr>
          <w:p>
            <w:r>
              <w:t>4</w:t>
            </w:r>
          </w:p>
        </w:tc>
      </w:tr>
    </w:tbl>
    <w:p>
      <w:pPr>
        <w:pStyle w:val="Heading1"/>
      </w:pPr>
      <w:r>
        <w:t>Publication Story Set</w:t>
      </w:r>
    </w:p>
    <w:p>
      <w:pPr>
        <w:pStyle w:val="ListNumber"/>
      </w:pPr>
      <w:r>
        <w:t>Research: Are Part D Sponsors Moving Cheap Generics Up-Tier to Protect Economics?</w:t>
      </w:r>
    </w:p>
    <w:p>
      <w:pPr>
        <w:pStyle w:val="ListNumber"/>
      </w:pPr>
      <w:r>
        <w:t>Research: Cheap Generic, Higher Tier, The New Part D Margin-Defense Pattern</w:t>
      </w:r>
    </w:p>
    <w:p>
      <w:pPr>
        <w:pStyle w:val="ListNumber"/>
      </w:pPr>
      <w:r>
        <w:t>Insight: Which Sponsors Are Most Likely Using Tier Migration to Defend Margin?</w:t>
      </w:r>
    </w:p>
    <w:p>
      <w:pPr>
        <w:pStyle w:val="ListNumber"/>
      </w:pPr>
      <w:r>
        <w:t>Insight: Part D Generic Coverage Contraction, Signal or Artifact?</w:t>
      </w:r>
    </w:p>
    <w:p>
      <w:pPr>
        <w:pStyle w:val="ListNumber"/>
      </w:pPr>
      <w:r>
        <w:t>Insight: PBM Network Fingerprints in 2026Q1, Mail-Retail Mix by Plan Type</w:t>
      </w:r>
    </w:p>
    <w:p>
      <w:pPr>
        <w:pStyle w:val="Heading1"/>
      </w:pPr>
      <w:r>
        <w:t>Documentation and Source Traceability</w:t>
      </w:r>
    </w:p>
    <w:p>
      <w:pPr>
        <w:pStyle w:val="ListBullet"/>
      </w:pPr>
      <w:r>
        <w:t>/Users/josephstewart/Documents/JLPolicyConsulting/output/exports/spuf-analysis-package/data/repricing_churn_decomposition.csv</w:t>
      </w:r>
    </w:p>
    <w:p>
      <w:pPr>
        <w:pStyle w:val="ListBullet"/>
      </w:pPr>
      <w:r>
        <w:t>/Users/josephstewart/Documents/JLPolicyConsulting/output/exports/spuf-analysis-package/data/generic_tier_worsening_top25.csv</w:t>
      </w:r>
    </w:p>
    <w:p>
      <w:pPr>
        <w:pStyle w:val="ListBullet"/>
      </w:pPr>
      <w:r>
        <w:t>/Users/josephstewart/Documents/JLPolicyConsulting/output/exports/spuf-analysis-package/data/sponsor_segmentation_2025Q4_to_2026Q1.csv</w:t>
      </w:r>
    </w:p>
    <w:p>
      <w:pPr>
        <w:pStyle w:val="ListBullet"/>
      </w:pPr>
      <w:r>
        <w:t>/Users/josephstewart/Documents/JLPolicyConsulting/output/exports/spuf-analysis-package/data/pbm_channel_profile_2026Q1.csv</w:t>
      </w:r>
    </w:p>
    <w:p>
      <w:pPr>
        <w:pStyle w:val="ListBullet"/>
      </w:pPr>
      <w:r>
        <w:t>/Users/josephstewart/Documents/JLPolicyConsulting/output/exports/spuf-analysis-package/data/beneficiary_tier_linkage_delta_q4_to_q1.csv</w:t>
      </w:r>
    </w:p>
    <w:p>
      <w:r>
        <w:t>Final note: use observed-versus-inferred language in all external publication surfaces.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