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Executive Summary</w:t>
      </w:r>
    </w:p>
    <w:p>
      <w:r>
        <w:t>The strongest supported story from SPUF is not that Part D sponsors are uniformly increasing prices. The evidence is strongest when the quarter pair is treated as mechanism-rich and decomposed into repricing and panel churn before applying access-policy interpretation.</w:t>
      </w:r>
    </w:p>
    <w:p>
      <w:r>
        <w:t>Across observed windows, low-cost generics repeatedly show net movement to higher tiers when compared under same-NDC controls. This pattern can increase beneficiary friction without clear unit-price movement and is commercially relevant because it can shift utilization and adherence without obvious headline repricing.</w:t>
      </w:r>
    </w:p>
    <w:p>
      <w:r>
        <w:t>The contribution of this long-form treatment is to separate three forces clearly:</w:t>
      </w:r>
    </w:p>
    <w:p>
      <w:pPr>
        <w:pStyle w:val="ListBullet"/>
      </w:pPr>
      <w:r>
        <w:t>repricing within stable product-plan pairs,</w:t>
      </w:r>
    </w:p>
    <w:p>
      <w:pPr>
        <w:pStyle w:val="ListBullet"/>
      </w:pPr>
      <w:r>
        <w:t>panel churn from unmatched add/drop behavior,</w:t>
      </w:r>
    </w:p>
    <w:p>
      <w:pPr>
        <w:pStyle w:val="ListBullet"/>
      </w:pPr>
      <w:r>
        <w:t>and tier migration under same-NDC controls.</w:t>
      </w:r>
    </w:p>
    <w:p>
      <w:pPr>
        <w:pStyle w:val="Heading2"/>
      </w:pPr>
      <w:r>
        <w:t>Research Question</w:t>
      </w:r>
    </w:p>
    <w:p>
      <w:r>
        <w:t>To what degree can SPUF quarter-over-quarter outputs support the interpretation that Part D sponsors are using low-cost generic tier migration as part of an access-mechanism defense strategy, and where does the data stop short of causal proof?</w:t>
      </w:r>
    </w:p>
    <w:p>
      <w:pPr>
        <w:pStyle w:val="Heading2"/>
      </w:pPr>
      <w:r>
        <w:t>Observational Framing and Standards</w:t>
      </w:r>
    </w:p>
    <w:p>
      <w:pPr>
        <w:pStyle w:val="Heading3"/>
      </w:pPr>
      <w:r>
        <w:t>Internal evidence set</w:t>
      </w:r>
    </w:p>
    <w:p>
      <w:pPr>
        <w:pStyle w:val="ListBullet"/>
      </w:pPr>
      <w:r>
        <w:t>`/Users/josephstewart/Documents/JLPolicyConsulting/output/exports/spuf-analysis-package/data/repricing_churn_decomposition.csv`</w:t>
      </w:r>
    </w:p>
    <w:p>
      <w:pPr>
        <w:pStyle w:val="ListBullet"/>
      </w:pPr>
      <w:r>
        <w:t>`/Users/josephstewart/Documents/JLPolicyConsulting/output/exports/spuf-analysis-package/data/generic_tier_worsening_top25.csv`</w:t>
      </w:r>
    </w:p>
    <w:p>
      <w:pPr>
        <w:pStyle w:val="ListBullet"/>
      </w:pPr>
      <w:r>
        <w:t>`/Users/josephstewart/Documents/JLPolicyConsulting/output/exports/spuf-analysis-package/data/sponsor_segmentation_summary.csv`</w:t>
      </w:r>
    </w:p>
    <w:p>
      <w:pPr>
        <w:pStyle w:val="ListBullet"/>
      </w:pPr>
      <w:r>
        <w:t>`/Users/josephstewart/Documents/JLPolicyConsulting/output/exports/spuf-analysis-package/data/sponsor_segmentation_2025Q4_to_2026Q1.csv`</w:t>
      </w:r>
    </w:p>
    <w:p>
      <w:pPr>
        <w:pStyle w:val="ListBullet"/>
      </w:pPr>
      <w:r>
        <w:t>`/Users/josephstewart/Documents/JLPolicyConsulting/output/exports/spuf-analysis-package/data/pbm_channel_profile_2026Q1.csv`</w:t>
      </w:r>
    </w:p>
    <w:p>
      <w:pPr>
        <w:pStyle w:val="ListBullet"/>
      </w:pPr>
      <w:r>
        <w:t>`/Users/josephstewart/Documents/JLPolicyConsulting/output/exports/spuf-analysis-package/data/beneficiary_tier_linkage_delta_q4_to_q1.csv`</w:t>
      </w:r>
    </w:p>
    <w:p>
      <w:pPr>
        <w:pStyle w:val="Heading3"/>
      </w:pPr>
      <w:r>
        <w:t>External policy anchors</w:t>
      </w:r>
    </w:p>
    <w:p>
      <w:pPr>
        <w:pStyle w:val="ListBullet"/>
      </w:pPr>
      <w:r>
        <w:t>CMS defines formulary design as operationalized by formulary requirements, including tier structures and utilization-management tools such as prior authorization, step therapy, and quantity limits.</w:t>
      </w:r>
    </w:p>
    <w:p>
      <w:pPr>
        <w:pStyle w:val="ListBullet"/>
      </w:pPr>
      <w:r>
        <w:t>CMS formulary and Part D governance materials document utilization-management requirements, public posting obligations, and restrictions on mid-year restrictive changes without CMS approval.</w:t>
      </w:r>
    </w:p>
    <w:p>
      <w:pPr>
        <w:pStyle w:val="ListBullet"/>
      </w:pPr>
      <w:r>
        <w:t>Medicare Part D plan rules confirm that step therapy/PA are part of standard managed-access logic in Part D plans.</w:t>
      </w:r>
    </w:p>
    <w:p>
      <w:pPr>
        <w:pStyle w:val="ListBullet"/>
      </w:pPr>
      <w:r>
        <w:t>ResDAC’s Part D Formulary documentation confirms that CMS-level files include tier ID and UM indicators at plan-drug granularity.</w:t>
      </w:r>
    </w:p>
    <w:p>
      <w:pPr>
        <w:pStyle w:val="Heading3"/>
      </w:pPr>
      <w:r>
        <w:t>Analytical logic</w:t>
      </w:r>
    </w:p>
    <w:p>
      <w:r>
        <w:t>1. Use pairwise decomposition to avoid false mechanism inferences. 2. Apply same-NDC controls when assessing whether tier movement can be attributed to same-product repricing. 3. Profile sponsors by behavior class before drawing account-level inferences. 4. Use beneficiary-linkage fields as directional evidence, not final price-level conclusions. 5. Separate observed signal from inferred strategy in every conclusion.</w:t>
      </w:r>
    </w:p>
    <w:p>
      <w:pPr>
        <w:pStyle w:val="Heading2"/>
      </w:pPr>
      <w:r>
        <w:t>Step 1: Decomposition Before Interpretation</w:t>
      </w:r>
    </w:p>
    <w:p>
      <w:pPr>
        <w:pStyle w:val="Heading3"/>
      </w:pPr>
      <w:r>
        <w:t>2025Q3 to 2025Q4</w:t>
      </w:r>
    </w:p>
    <w:p>
      <w:pPr>
        <w:pStyle w:val="ListBullet"/>
      </w:pPr>
      <w:r>
        <w:t>Matched share: `94.48%`</w:t>
      </w:r>
    </w:p>
    <w:p>
      <w:pPr>
        <w:pStyle w:val="ListBullet"/>
      </w:pPr>
      <w:r>
        <w:t>Add/drop share: `5.52%`</w:t>
      </w:r>
    </w:p>
    <w:p>
      <w:pPr>
        <w:pStyle w:val="ListBullet"/>
      </w:pPr>
      <w:r>
        <w:t>Repriced share of matched: `69.73%`</w:t>
      </w:r>
    </w:p>
    <w:p>
      <w:pPr>
        <w:pStyle w:val="ListBullet"/>
      </w:pPr>
      <w:r>
        <w:t>Unchanged share of matched: `30.27%`</w:t>
      </w:r>
    </w:p>
    <w:p>
      <w:pPr>
        <w:pStyle w:val="Heading3"/>
      </w:pPr>
      <w:r>
        <w:t>2025Q4 to 2026Q1</w:t>
      </w:r>
    </w:p>
    <w:p>
      <w:pPr>
        <w:pStyle w:val="ListBullet"/>
      </w:pPr>
      <w:r>
        <w:t>Matched share: `59.81%`</w:t>
      </w:r>
    </w:p>
    <w:p>
      <w:pPr>
        <w:pStyle w:val="ListBullet"/>
      </w:pPr>
      <w:r>
        <w:t>Add/drop share: `40.19%`</w:t>
      </w:r>
    </w:p>
    <w:p>
      <w:pPr>
        <w:pStyle w:val="ListBullet"/>
      </w:pPr>
      <w:r>
        <w:t>Repriced share of matched: `95.79%`</w:t>
      </w:r>
    </w:p>
    <w:p>
      <w:pPr>
        <w:pStyle w:val="ListBullet"/>
      </w:pPr>
      <w:r>
        <w:t>Unchanged share of matched: `4.21%`</w:t>
      </w:r>
    </w:p>
    <w:p>
      <w:pPr>
        <w:pStyle w:val="Heading3"/>
      </w:pPr>
      <w:r>
        <w:t>What this means</w:t>
      </w:r>
    </w:p>
    <w:p>
      <w:r>
        <w:t>The two windows are not structurally equivalent. The 2025Q4 to 2026Q1 window is much more churn-sensitive and therefore composition-shift prone. A single aggregate claim without decomposition risks attributing churn-driven redesign to product-level pricing behavior.</w:t>
      </w:r>
    </w:p>
    <w:p>
      <w:pPr>
        <w:pStyle w:val="Heading2"/>
      </w:pPr>
      <w:r>
        <w:t>Step 2: Same-NDC Tier Movement in Low-Cost Generics</w:t>
      </w:r>
    </w:p>
    <w:p>
      <w:pPr>
        <w:pStyle w:val="Heading3"/>
      </w:pPr>
      <w:r>
        <w:t>Top concepts by net higher-tier share (with same-NDC controls)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Product concept</w:t>
            </w:r>
          </w:p>
        </w:tc>
        <w:tc>
          <w:tcPr>
            <w:tcW w:type="dxa" w:w="2160"/>
          </w:tcPr>
          <w:p>
            <w:r>
              <w:t>Net higher-tier share</w:t>
            </w:r>
          </w:p>
        </w:tc>
        <w:tc>
          <w:tcPr>
            <w:tcW w:type="dxa" w:w="2160"/>
          </w:tcPr>
          <w:p>
            <w:r>
              <w:t>Same-NDC pct change (q/q)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---:</w:t>
            </w:r>
          </w:p>
        </w:tc>
        <w:tc>
          <w:tcPr>
            <w:tcW w:type="dxa" w:w="2160"/>
          </w:tcPr>
          <w:p>
            <w:r>
              <w:t>---: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hydroxyzine pamoate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-16.4%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dicyclomine hydrochloride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  <w:tc>
          <w:tcPr>
            <w:tcW w:type="dxa" w:w="2160"/>
          </w:tcPr>
          <w:p>
            <w:r>
              <w:t>19.3%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nortriptyline hydrochloride</w:t>
            </w:r>
          </w:p>
        </w:tc>
        <w:tc>
          <w:tcPr>
            <w:tcW w:type="dxa" w:w="2160"/>
          </w:tcPr>
          <w:p>
            <w:r>
              <w:t>23.6%</w:t>
            </w:r>
          </w:p>
        </w:tc>
        <w:tc>
          <w:tcPr>
            <w:tcW w:type="dxa" w:w="2160"/>
          </w:tcPr>
          <w:p>
            <w:r>
              <w:t>0.7%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alprazolam</w:t>
            </w:r>
          </w:p>
        </w:tc>
        <w:tc>
          <w:tcPr>
            <w:tcW w:type="dxa" w:w="2160"/>
          </w:tcPr>
          <w:p>
            <w:r>
              <w:t>15.2%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hydromorphone hydrochloride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cyclosporine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diazepam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morphine sulfate</w:t>
            </w:r>
          </w:p>
        </w:tc>
        <w:tc>
          <w:tcPr>
            <w:tcW w:type="dxa" w:w="2160"/>
          </w:tcPr>
          <w:p>
            <w:r>
              <w:t>7.0%</w:t>
            </w:r>
          </w:p>
        </w:tc>
        <w:tc>
          <w:tcPr>
            <w:tcW w:type="dxa" w:w="2160"/>
          </w:tcPr>
          <w:p>
            <w:r>
              <w:t>3.5%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dexmethylphenidate hydrochloride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clarithromycin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  <w:tc>
          <w:tcPr>
            <w:tcW w:type="dxa" w:w="2160"/>
          </w:tcPr>
          <w:p>
            <w:r>
              <w:t>-12.2%</w:t>
            </w:r>
          </w:p>
        </w:tc>
      </w:tr>
    </w:tbl>
    <w:p>
      <w:pPr>
        <w:pStyle w:val="Heading3"/>
      </w:pPr>
      <w:r>
        <w:t>Interpretation</w:t>
      </w:r>
    </w:p>
    <w:p>
      <w:r>
        <w:t>Two points stand out:</w:t>
      </w:r>
    </w:p>
    <w:p>
      <w:pPr>
        <w:pStyle w:val="ListBullet"/>
      </w:pPr>
      <w:r>
        <w:t>High net tier worsening can occur with negative or near-zero same-NDC movement.</w:t>
      </w:r>
    </w:p>
    <w:p>
      <w:pPr>
        <w:pStyle w:val="ListBullet"/>
      </w:pPr>
      <w:r>
        <w:t>Signal strength is strongest where repricing and tier movement diverge for the same product/quarter cohort.</w:t>
      </w:r>
    </w:p>
    <w:p>
      <w:pPr>
        <w:pStyle w:val="Heading2"/>
      </w:pPr>
      <w:r>
        <w:t>Step 3: Sponsor Segmentation and Heterogeneity</w:t>
      </w:r>
    </w:p>
    <w:p>
      <w:pPr>
        <w:pStyle w:val="Heading3"/>
      </w:pPr>
      <w:r>
        <w:t>Segment counts</w:t>
      </w:r>
    </w:p>
    <w:p>
      <w:pPr>
        <w:pStyle w:val="ListBullet"/>
      </w:pPr>
      <w:r>
        <w:t>repricing_dominant: `185` (43%)</w:t>
      </w:r>
    </w:p>
    <w:p>
      <w:pPr>
        <w:pStyle w:val="ListBullet"/>
      </w:pPr>
      <w:r>
        <w:t>churn_dominant: `111` (26%)</w:t>
      </w:r>
    </w:p>
    <w:p>
      <w:pPr>
        <w:pStyle w:val="ListBullet"/>
      </w:pPr>
      <w:r>
        <w:t>mixed_high_activity: `110` (26%)</w:t>
      </w:r>
    </w:p>
    <w:p>
      <w:pPr>
        <w:pStyle w:val="ListBullet"/>
      </w:pPr>
      <w:r>
        <w:t>mixed_moderate: `20` (5%)</w:t>
      </w:r>
    </w:p>
    <w:p>
      <w:pPr>
        <w:pStyle w:val="Heading3"/>
      </w:pPr>
      <w:r>
        <w:t>Representative rows by segment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Representative sponsor</w:t>
            </w:r>
          </w:p>
        </w:tc>
        <w:tc>
          <w:tcPr>
            <w:tcW w:type="dxa" w:w="1728"/>
          </w:tcPr>
          <w:p>
            <w:r>
              <w:t>Total rows</w:t>
            </w:r>
          </w:p>
        </w:tc>
        <w:tc>
          <w:tcPr>
            <w:tcW w:type="dxa" w:w="1728"/>
          </w:tcPr>
          <w:p>
            <w:r>
              <w:t>Churn share of total</w:t>
            </w:r>
          </w:p>
        </w:tc>
        <w:tc>
          <w:tcPr>
            <w:tcW w:type="dxa" w:w="1728"/>
          </w:tcPr>
          <w:p>
            <w:r>
              <w:t>Repricing share of matched</w:t>
            </w:r>
          </w:p>
        </w:tc>
      </w:tr>
      <w:tr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---:</w:t>
            </w:r>
          </w:p>
        </w:tc>
        <w:tc>
          <w:tcPr>
            <w:tcW w:type="dxa" w:w="1728"/>
          </w:tcPr>
          <w:p>
            <w:r>
              <w:t>---:</w:t>
            </w:r>
          </w:p>
        </w:tc>
        <w:tc>
          <w:tcPr>
            <w:tcW w:type="dxa" w:w="1728"/>
          </w:tcPr>
          <w:p>
            <w:r>
              <w:t>---:</w:t>
            </w:r>
          </w:p>
        </w:tc>
      </w:tr>
      <w:tr>
        <w:tc>
          <w:tcPr>
            <w:tcW w:type="dxa" w:w="1728"/>
          </w:tcPr>
          <w:p>
            <w:r>
              <w:t>churn_dominant</w:t>
            </w:r>
          </w:p>
        </w:tc>
        <w:tc>
          <w:tcPr>
            <w:tcW w:type="dxa" w:w="1728"/>
          </w:tcPr>
          <w:p>
            <w:r>
              <w:t>HEALTHSPRING LIFE &amp; HEALTH INSURANCE COMPANY, INC.</w:t>
            </w:r>
          </w:p>
        </w:tc>
        <w:tc>
          <w:tcPr>
            <w:tcW w:type="dxa" w:w="1728"/>
          </w:tcPr>
          <w:p>
            <w:r>
              <w:t>2,361,642</w:t>
            </w:r>
          </w:p>
        </w:tc>
        <w:tc>
          <w:tcPr>
            <w:tcW w:type="dxa" w:w="1728"/>
          </w:tcPr>
          <w:p>
            <w:r>
              <w:t>49.30%</w:t>
            </w:r>
          </w:p>
        </w:tc>
        <w:tc>
          <w:tcPr>
            <w:tcW w:type="dxa" w:w="1728"/>
          </w:tcPr>
          <w:p>
            <w:r>
              <w:t>97.6%</w:t>
            </w:r>
          </w:p>
        </w:tc>
      </w:tr>
      <w:tr>
        <w:tc>
          <w:tcPr>
            <w:tcW w:type="dxa" w:w="1728"/>
          </w:tcPr>
          <w:p>
            <w:r>
              <w:t>churn_dominant</w:t>
            </w:r>
          </w:p>
        </w:tc>
        <w:tc>
          <w:tcPr>
            <w:tcW w:type="dxa" w:w="1728"/>
          </w:tcPr>
          <w:p>
            <w:r>
              <w:t>MEDCO CONTAINMENT LIFE AND MEDCO CONTAINMENT NY</w:t>
            </w:r>
          </w:p>
        </w:tc>
        <w:tc>
          <w:tcPr>
            <w:tcW w:type="dxa" w:w="1728"/>
          </w:tcPr>
          <w:p>
            <w:r>
              <w:t>1,077,057</w:t>
            </w:r>
          </w:p>
        </w:tc>
        <w:tc>
          <w:tcPr>
            <w:tcW w:type="dxa" w:w="1728"/>
          </w:tcPr>
          <w:p>
            <w:r>
              <w:t>47.79%</w:t>
            </w:r>
          </w:p>
        </w:tc>
        <w:tc>
          <w:tcPr>
            <w:tcW w:type="dxa" w:w="1728"/>
          </w:tcPr>
          <w:p>
            <w:r>
              <w:t>98.4%</w:t>
            </w:r>
          </w:p>
        </w:tc>
      </w:tr>
      <w:tr>
        <w:tc>
          <w:tcPr>
            <w:tcW w:type="dxa" w:w="1728"/>
          </w:tcPr>
          <w:p>
            <w:r>
              <w:t>repricing_dominant</w:t>
            </w:r>
          </w:p>
        </w:tc>
        <w:tc>
          <w:tcPr>
            <w:tcW w:type="dxa" w:w="1728"/>
          </w:tcPr>
          <w:p>
            <w:r>
              <w:t>UNITEDHEALTHCARE OF WISCONSIN, INC.</w:t>
            </w:r>
          </w:p>
        </w:tc>
        <w:tc>
          <w:tcPr>
            <w:tcW w:type="dxa" w:w="1728"/>
          </w:tcPr>
          <w:p>
            <w:r>
              <w:t>1,703,466</w:t>
            </w:r>
          </w:p>
        </w:tc>
        <w:tc>
          <w:tcPr>
            <w:tcW w:type="dxa" w:w="1728"/>
          </w:tcPr>
          <w:p>
            <w:r>
              <w:t>24.60%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repricing_dominant</w:t>
            </w:r>
          </w:p>
        </w:tc>
        <w:tc>
          <w:tcPr>
            <w:tcW w:type="dxa" w:w="1728"/>
          </w:tcPr>
          <w:p>
            <w:r>
              <w:t>SIERRA HEALTH AND LIFE INSURANCE COMPANY, INC.</w:t>
            </w:r>
          </w:p>
        </w:tc>
        <w:tc>
          <w:tcPr>
            <w:tcW w:type="dxa" w:w="1728"/>
          </w:tcPr>
          <w:p>
            <w:r>
              <w:t>1,255,065</w:t>
            </w:r>
          </w:p>
        </w:tc>
        <w:tc>
          <w:tcPr>
            <w:tcW w:type="dxa" w:w="1728"/>
          </w:tcPr>
          <w:p>
            <w:r>
              <w:t>24.68%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mixed_high_activity</w:t>
            </w:r>
          </w:p>
        </w:tc>
        <w:tc>
          <w:tcPr>
            <w:tcW w:type="dxa" w:w="1728"/>
          </w:tcPr>
          <w:p>
            <w:r>
              <w:t>CARE IMPROVEMENT PLUS SOUTH CENTRAL INSURANCE CO.</w:t>
            </w:r>
          </w:p>
        </w:tc>
        <w:tc>
          <w:tcPr>
            <w:tcW w:type="dxa" w:w="1728"/>
          </w:tcPr>
          <w:p>
            <w:r>
              <w:t>3,140,724</w:t>
            </w:r>
          </w:p>
        </w:tc>
        <w:tc>
          <w:tcPr>
            <w:tcW w:type="dxa" w:w="1728"/>
          </w:tcPr>
          <w:p>
            <w:r>
              <w:t>32.28%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</w:tr>
      <w:tr>
        <w:tc>
          <w:tcPr>
            <w:tcW w:type="dxa" w:w="1728"/>
          </w:tcPr>
          <w:p>
            <w:r>
              <w:t>mixed_moderate</w:t>
            </w:r>
          </w:p>
        </w:tc>
        <w:tc>
          <w:tcPr>
            <w:tcW w:type="dxa" w:w="1728"/>
          </w:tcPr>
          <w:p>
            <w:r>
              <w:t>DEVOTED HEALTH PLAN OF NORTH CAROLINA INC</w:t>
            </w:r>
          </w:p>
        </w:tc>
        <w:tc>
          <w:tcPr>
            <w:tcW w:type="dxa" w:w="1728"/>
          </w:tcPr>
          <w:p>
            <w:r>
              <w:t>196,170</w:t>
            </w:r>
          </w:p>
        </w:tc>
        <w:tc>
          <w:tcPr>
            <w:tcW w:type="dxa" w:w="1728"/>
          </w:tcPr>
          <w:p>
            <w:r>
              <w:t>44.88%</w:t>
            </w:r>
          </w:p>
        </w:tc>
        <w:tc>
          <w:tcPr>
            <w:tcW w:type="dxa" w:w="1728"/>
          </w:tcPr>
          <w:p>
            <w:r>
              <w:t>84.3%</w:t>
            </w:r>
          </w:p>
        </w:tc>
      </w:tr>
    </w:tbl>
    <w:p>
      <w:pPr>
        <w:pStyle w:val="Heading3"/>
      </w:pPr>
      <w:r>
        <w:t>Interpretation</w:t>
      </w:r>
    </w:p>
    <w:p>
      <w:r>
        <w:t>Behavior is not monolithic. A sponsor with high churn dominance should not be managed as a simple repricer, and a repricing-heavy sponsor can still produce access-policy implications through tier design.</w:t>
      </w:r>
    </w:p>
    <w:p>
      <w:pPr>
        <w:pStyle w:val="Heading2"/>
      </w:pPr>
      <w:r>
        <w:t>Step 4: Mechanism Plausibility and External Consistency</w:t>
      </w:r>
    </w:p>
    <w:p>
      <w:r>
        <w:t>The observed pattern is consistent with a three-part mechanism:</w:t>
      </w:r>
    </w:p>
    <w:p>
      <w:r>
        <w:t>1. CMS governance and benefit design make tiering and formulary controls a faster levers than headline pricing in some settings. 2. Tier movement that is not matched by same-NDC repricing can still alter beneficiary friction. 3. Sponsor behavior is account-specific; this is a portfolio-level heterogeneity story, not a universal market rule.</w:t>
      </w:r>
    </w:p>
    <w:p>
      <w:r>
        <w:t>This does not prove motive in each market. It supports a market-practice hypothesis for prioritization and client reporting.</w:t>
      </w:r>
    </w:p>
    <w:p>
      <w:pPr>
        <w:pStyle w:val="Heading2"/>
      </w:pPr>
      <w:r>
        <w:t>Step 5: PBM Channel Context at Cross-Section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PBM</w:t>
            </w:r>
          </w:p>
        </w:tc>
        <w:tc>
          <w:tcPr>
            <w:tcW w:type="dxa" w:w="1728"/>
          </w:tcPr>
          <w:p>
            <w:r>
              <w:t>Plan type</w:t>
            </w:r>
          </w:p>
        </w:tc>
        <w:tc>
          <w:tcPr>
            <w:tcW w:type="dxa" w:w="1728"/>
          </w:tcPr>
          <w:p>
            <w:r>
              <w:t>Plan count</w:t>
            </w:r>
          </w:p>
        </w:tc>
        <w:tc>
          <w:tcPr>
            <w:tcW w:type="dxa" w:w="1728"/>
          </w:tcPr>
          <w:p>
            <w:r>
              <w:t>Avg mail share</w:t>
            </w:r>
          </w:p>
        </w:tc>
        <w:tc>
          <w:tcPr>
            <w:tcW w:type="dxa" w:w="1728"/>
          </w:tcPr>
          <w:p>
            <w:r>
              <w:t>PBM mail steering score</w:t>
            </w:r>
          </w:p>
        </w:tc>
      </w:tr>
      <w:tr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---:</w:t>
            </w:r>
          </w:p>
        </w:tc>
        <w:tc>
          <w:tcPr>
            <w:tcW w:type="dxa" w:w="1728"/>
          </w:tcPr>
          <w:p>
            <w:r>
              <w:t>---:</w:t>
            </w:r>
          </w:p>
        </w:tc>
        <w:tc>
          <w:tcPr>
            <w:tcW w:type="dxa" w:w="1728"/>
          </w:tcPr>
          <w:p>
            <w:r>
              <w:t>---:</w:t>
            </w:r>
          </w:p>
        </w:tc>
      </w:tr>
      <w:tr>
        <w:tc>
          <w:tcPr>
            <w:tcW w:type="dxa" w:w="1728"/>
          </w:tcPr>
          <w:p>
            <w:r>
              <w:t>Kaiser Permanente</w:t>
            </w:r>
          </w:p>
        </w:tc>
        <w:tc>
          <w:tcPr>
            <w:tcW w:type="dxa" w:w="1728"/>
          </w:tcPr>
          <w:p>
            <w:r>
              <w:t>MA-PD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4.15%</w:t>
            </w:r>
          </w:p>
        </w:tc>
        <w:tc>
          <w:tcPr>
            <w:tcW w:type="dxa" w:w="1728"/>
          </w:tcPr>
          <w:p>
            <w:r>
              <w:t>29.09</w:t>
            </w:r>
          </w:p>
        </w:tc>
      </w:tr>
      <w:tr>
        <w:tc>
          <w:tcPr>
            <w:tcW w:type="dxa" w:w="1728"/>
          </w:tcPr>
          <w:p>
            <w:r>
              <w:t>Express Scripts</w:t>
            </w:r>
          </w:p>
        </w:tc>
        <w:tc>
          <w:tcPr>
            <w:tcW w:type="dxa" w:w="1728"/>
          </w:tcPr>
          <w:p>
            <w:r>
              <w:t>PDP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0.13%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</w:tr>
      <w:tr>
        <w:tc>
          <w:tcPr>
            <w:tcW w:type="dxa" w:w="1728"/>
          </w:tcPr>
          <w:p>
            <w:r>
              <w:t>Express Scripts</w:t>
            </w:r>
          </w:p>
        </w:tc>
        <w:tc>
          <w:tcPr>
            <w:tcW w:type="dxa" w:w="1728"/>
          </w:tcPr>
          <w:p>
            <w:r>
              <w:t>MA-PD</w:t>
            </w:r>
          </w:p>
        </w:tc>
        <w:tc>
          <w:tcPr>
            <w:tcW w:type="dxa" w:w="1728"/>
          </w:tcPr>
          <w:p>
            <w:r>
              <w:t>536</w:t>
            </w:r>
          </w:p>
        </w:tc>
        <w:tc>
          <w:tcPr>
            <w:tcW w:type="dxa" w:w="1728"/>
          </w:tcPr>
          <w:p>
            <w:r>
              <w:t>0.13%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</w:tr>
      <w:tr>
        <w:tc>
          <w:tcPr>
            <w:tcW w:type="dxa" w:w="1728"/>
          </w:tcPr>
          <w:p>
            <w:r>
              <w:t>EnvisionRx</w:t>
            </w:r>
          </w:p>
        </w:tc>
        <w:tc>
          <w:tcPr>
            <w:tcW w:type="dxa" w:w="1728"/>
          </w:tcPr>
          <w:p>
            <w:r>
              <w:t>MA-PD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0.11%</w:t>
            </w:r>
          </w:p>
        </w:tc>
        <w:tc>
          <w:tcPr>
            <w:tcW w:type="dxa" w:w="1728"/>
          </w:tcPr>
          <w:p>
            <w:r>
              <w:t>0.79</w:t>
            </w:r>
          </w:p>
        </w:tc>
      </w:tr>
      <w:tr>
        <w:tc>
          <w:tcPr>
            <w:tcW w:type="dxa" w:w="1728"/>
          </w:tcPr>
          <w:p>
            <w:r>
              <w:t>Prime Therapeutics</w:t>
            </w:r>
          </w:p>
        </w:tc>
        <w:tc>
          <w:tcPr>
            <w:tcW w:type="dxa" w:w="1728"/>
          </w:tcPr>
          <w:p>
            <w:r>
              <w:t>MA-PD</w:t>
            </w:r>
          </w:p>
        </w:tc>
        <w:tc>
          <w:tcPr>
            <w:tcW w:type="dxa" w:w="1728"/>
          </w:tcPr>
          <w:p>
            <w:r>
              <w:t>583</w:t>
            </w:r>
          </w:p>
        </w:tc>
        <w:tc>
          <w:tcPr>
            <w:tcW w:type="dxa" w:w="1728"/>
          </w:tcPr>
          <w:p>
            <w:r>
              <w:t>0.07%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</w:tr>
    </w:tbl>
    <w:p>
      <w:pPr>
        <w:pStyle w:val="Heading3"/>
      </w:pPr>
      <w:r>
        <w:t>Interpretation</w:t>
      </w:r>
    </w:p>
    <w:p>
      <w:r>
        <w:t>This profile is practical for surveillance design and partner mapping. It identifies channels where cross-surface behavior may concentrate, but it is not sufficient alone to prove economics motive.</w:t>
      </w:r>
    </w:p>
    <w:p>
      <w:pPr>
        <w:pStyle w:val="Heading2"/>
      </w:pPr>
      <w:r>
        <w:t>Step 6: Beneficiary-Tier Linkage as a Secondary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Plan count delta</w:t>
            </w:r>
          </w:p>
        </w:tc>
        <w:tc>
          <w:tcPr>
            <w:tcW w:type="dxa" w:w="2160"/>
          </w:tcPr>
          <w:p>
            <w:r>
              <w:t>Linked formulary NDC row delta</w:t>
            </w:r>
          </w:p>
        </w:tc>
        <w:tc>
          <w:tcPr>
            <w:tcW w:type="dxa" w:w="2160"/>
          </w:tcPr>
          <w:p>
            <w:r>
              <w:t>Mean deductible-applies share delta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---:</w:t>
            </w:r>
          </w:p>
        </w:tc>
        <w:tc>
          <w:tcPr>
            <w:tcW w:type="dxa" w:w="2160"/>
          </w:tcPr>
          <w:p>
            <w:r>
              <w:t>---:</w:t>
            </w:r>
          </w:p>
        </w:tc>
        <w:tc>
          <w:tcPr>
            <w:tcW w:type="dxa" w:w="2160"/>
          </w:tcPr>
          <w:p>
            <w:r>
              <w:t>---: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-117</w:t>
            </w:r>
          </w:p>
        </w:tc>
        <w:tc>
          <w:tcPr>
            <w:tcW w:type="dxa" w:w="2160"/>
          </w:tcPr>
          <w:p>
            <w:r>
              <w:t>-469,640</w:t>
            </w:r>
          </w:p>
        </w:tc>
        <w:tc>
          <w:tcPr>
            <w:tcW w:type="dxa" w:w="2160"/>
          </w:tcPr>
          <w:p>
            <w:r>
              <w:t>-9.42 pp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-9</w:t>
            </w:r>
          </w:p>
        </w:tc>
        <w:tc>
          <w:tcPr>
            <w:tcW w:type="dxa" w:w="2160"/>
          </w:tcPr>
          <w:p>
            <w:r>
              <w:t>-192,774</w:t>
            </w:r>
          </w:p>
        </w:tc>
        <w:tc>
          <w:tcPr>
            <w:tcW w:type="dxa" w:w="2160"/>
          </w:tcPr>
          <w:p>
            <w:r>
              <w:t>+0.32 pp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-6</w:t>
            </w:r>
          </w:p>
        </w:tc>
        <w:tc>
          <w:tcPr>
            <w:tcW w:type="dxa" w:w="2160"/>
          </w:tcPr>
          <w:p>
            <w:r>
              <w:t>28,770</w:t>
            </w:r>
          </w:p>
        </w:tc>
        <w:tc>
          <w:tcPr>
            <w:tcW w:type="dxa" w:w="2160"/>
          </w:tcPr>
          <w:p>
            <w:r>
              <w:t>+16.32 pp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-108,280</w:t>
            </w:r>
          </w:p>
        </w:tc>
        <w:tc>
          <w:tcPr>
            <w:tcW w:type="dxa" w:w="2160"/>
          </w:tcPr>
          <w:p>
            <w:r>
              <w:t>+18.52 pp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-116,085</w:t>
            </w:r>
          </w:p>
        </w:tc>
        <w:tc>
          <w:tcPr>
            <w:tcW w:type="dxa" w:w="2160"/>
          </w:tcPr>
          <w:p>
            <w:r>
              <w:t>+18.67 pp</w:t>
            </w:r>
          </w:p>
        </w:tc>
      </w:tr>
    </w:tbl>
    <w:p>
      <w:pPr>
        <w:pStyle w:val="Heading3"/>
      </w:pPr>
      <w:r>
        <w:t>Interpretation</w:t>
      </w:r>
    </w:p>
    <w:p>
      <w:r>
        <w:t>The link to beneficiary-facing cost-sharing is suggestive and useful for commercial interpretation, but sparse preferred-cost fields in this extraction window require cautious monetary claims.</w:t>
      </w:r>
    </w:p>
    <w:p>
      <w:pPr>
        <w:pStyle w:val="Heading2"/>
      </w:pPr>
      <w:r>
        <w:t>Step 7: Data Completeness and Risk Register</w:t>
      </w:r>
    </w:p>
    <w:p>
      <w:pPr>
        <w:pStyle w:val="Heading3"/>
      </w:pPr>
      <w:r>
        <w:t>What the dataset supports well</w:t>
      </w:r>
    </w:p>
    <w:p>
      <w:pPr>
        <w:pStyle w:val="ListBullet"/>
      </w:pPr>
      <w:r>
        <w:t>Directional tier pressure on low-cost generic concepts.</w:t>
      </w:r>
    </w:p>
    <w:p>
      <w:pPr>
        <w:pStyle w:val="ListBullet"/>
      </w:pPr>
      <w:r>
        <w:t>Sponsor-level heterogeneity and behavior clustering.</w:t>
      </w:r>
    </w:p>
    <w:p>
      <w:pPr>
        <w:pStyle w:val="ListBullet"/>
      </w:pPr>
      <w:r>
        <w:t>Decomposition of signal quality in high-churn versus high-continuity quarter pair comparisons.</w:t>
      </w:r>
    </w:p>
    <w:p>
      <w:pPr>
        <w:pStyle w:val="ListBullet"/>
      </w:pPr>
      <w:r>
        <w:t>Initial channel and benefit-design context for follow-on operational prioritization.</w:t>
      </w:r>
    </w:p>
    <w:p>
      <w:pPr>
        <w:pStyle w:val="Heading3"/>
      </w:pPr>
      <w:r>
        <w:t>What the dataset does not support directly</w:t>
      </w:r>
    </w:p>
    <w:p>
      <w:pPr>
        <w:pStyle w:val="ListBullet"/>
      </w:pPr>
      <w:r>
        <w:t>Exact beneficiary out-of-pocket deltas by plan without richer cost-share and utilization normalization.</w:t>
      </w:r>
    </w:p>
    <w:p>
      <w:pPr>
        <w:pStyle w:val="ListBullet"/>
      </w:pPr>
      <w:r>
        <w:t>A causal attribution of margin gains versus mix shift without direct reimbursement reconciliation.</w:t>
      </w:r>
    </w:p>
    <w:p>
      <w:pPr>
        <w:pStyle w:val="ListBullet"/>
      </w:pPr>
      <w:r>
        <w:t>Unconditional claims about sponsor intent in every observed tier movement.</w:t>
      </w:r>
    </w:p>
    <w:p>
      <w:pPr>
        <w:pStyle w:val="Heading2"/>
      </w:pPr>
      <w:r>
        <w:t>Mechanism Validation Framework</w:t>
      </w:r>
    </w:p>
    <w:p>
      <w:pPr>
        <w:pStyle w:val="Heading3"/>
      </w:pPr>
      <w:r>
        <w:t>Strongly supported observations</w:t>
      </w:r>
    </w:p>
    <w:p>
      <w:pPr>
        <w:pStyle w:val="ListBullet"/>
      </w:pPr>
      <w:r>
        <w:t>Quarterly decomposition changes are real and measurable.</w:t>
      </w:r>
    </w:p>
    <w:p>
      <w:pPr>
        <w:pStyle w:val="ListBullet"/>
      </w:pPr>
      <w:r>
        <w:t>Net tier worsening for low-cost generics appears in several concepts even under controls.</w:t>
      </w:r>
    </w:p>
    <w:p>
      <w:pPr>
        <w:pStyle w:val="ListBullet"/>
      </w:pPr>
      <w:r>
        <w:t>Sponsor behavior is behaviorally heterogeneous.</w:t>
      </w:r>
    </w:p>
    <w:p>
      <w:pPr>
        <w:pStyle w:val="ListBullet"/>
      </w:pPr>
      <w:r>
        <w:t>Cross-sectional PBM context can be mapped to operational follow-up priorities.</w:t>
      </w:r>
    </w:p>
    <w:p>
      <w:pPr>
        <w:pStyle w:val="Heading3"/>
      </w:pPr>
      <w:r>
        <w:t>Inference-only layer</w:t>
      </w:r>
    </w:p>
    <w:p>
      <w:pPr>
        <w:pStyle w:val="ListBullet"/>
      </w:pPr>
      <w:r>
        <w:t>Whether tier movement is primarily margin defense versus product portfolio adaptation.</w:t>
      </w:r>
    </w:p>
    <w:p>
      <w:pPr>
        <w:pStyle w:val="ListBullet"/>
      </w:pPr>
      <w:r>
        <w:t>Exact sponsor-level attribution of financial impact.</w:t>
      </w:r>
    </w:p>
    <w:p>
      <w:pPr>
        <w:pStyle w:val="ListBullet"/>
      </w:pPr>
      <w:r>
        <w:t>Magnitude of beneficiary out-of-pocket change per plan design without richer cost-share fields.</w:t>
      </w:r>
    </w:p>
    <w:p>
      <w:pPr>
        <w:pStyle w:val="Heading3"/>
      </w:pPr>
      <w:r>
        <w:t>Evidence limitations and risk controls</w:t>
      </w:r>
    </w:p>
    <w:p>
      <w:r>
        <w:t>This framework avoids overclaiming by separating observed fields from inferred motive. Primary risks include:</w:t>
      </w:r>
    </w:p>
    <w:p>
      <w:pPr>
        <w:pStyle w:val="ListBullet"/>
      </w:pPr>
      <w:r>
        <w:t>add/drop composition shocks that reshape cohorts,</w:t>
      </w:r>
    </w:p>
    <w:p>
      <w:pPr>
        <w:pStyle w:val="ListBullet"/>
      </w:pPr>
      <w:r>
        <w:t>duplicate or weak manufacturer/NDC mappings,</w:t>
      </w:r>
    </w:p>
    <w:p>
      <w:pPr>
        <w:pStyle w:val="ListBullet"/>
      </w:pPr>
      <w:r>
        <w:t>day-supply distribution artifacts,</w:t>
      </w:r>
    </w:p>
    <w:p>
      <w:pPr>
        <w:pStyle w:val="ListBullet"/>
      </w:pPr>
      <w:r>
        <w:t>sparse or missing cost-share keys in this extraction.</w:t>
      </w:r>
    </w:p>
    <w:p>
      <w:pPr>
        <w:pStyle w:val="Heading2"/>
      </w:pPr>
      <w:r>
        <w:t>Practical implications</w:t>
      </w:r>
    </w:p>
    <w:p>
      <w:pPr>
        <w:pStyle w:val="Heading3"/>
      </w:pPr>
      <w:r>
        <w:t>For manufacturers</w:t>
      </w:r>
    </w:p>
    <w:p>
      <w:r>
        <w:t>A strategy that monitors only unit prices will miss part of the market behavior. Tier migration and repricing need parallel surveillance with explicit cohort matching.</w:t>
      </w:r>
    </w:p>
    <w:p>
      <w:pPr>
        <w:pStyle w:val="Heading3"/>
      </w:pPr>
      <w:r>
        <w:t>For payers and access teams</w:t>
      </w:r>
    </w:p>
    <w:p>
      <w:r>
        <w:t>Sponsor clusters and same-NDC divergence can guide account prioritization:</w:t>
      </w:r>
    </w:p>
    <w:p>
      <w:pPr>
        <w:pStyle w:val="ListBullet"/>
      </w:pPr>
      <w:r>
        <w:t>churn-dominant groups may indicate formulary churn and network repositioning,</w:t>
      </w:r>
    </w:p>
    <w:p>
      <w:pPr>
        <w:pStyle w:val="ListBullet"/>
      </w:pPr>
      <w:r>
        <w:t>repricing_dominant groups may require pricing and rebasing focus,</w:t>
      </w:r>
    </w:p>
    <w:p>
      <w:pPr>
        <w:pStyle w:val="ListBullet"/>
      </w:pPr>
      <w:r>
        <w:t>mixed groups require both.</w:t>
      </w:r>
    </w:p>
    <w:p>
      <w:pPr>
        <w:pStyle w:val="Heading3"/>
      </w:pPr>
      <w:r>
        <w:t>For policy and reimbursement strategy professionals</w:t>
      </w:r>
    </w:p>
    <w:p>
      <w:r>
        <w:t>The observed mechanism supports a commercial thesis: access design can function as a defense layer when repricing signals are muted at the same-NDC level.</w:t>
      </w:r>
    </w:p>
    <w:p>
      <w:pPr>
        <w:pStyle w:val="Heading2"/>
      </w:pPr>
      <w:r>
        <w:t>Decomposition into smaller outputs</w:t>
      </w:r>
    </w:p>
    <w:p>
      <w:r>
        <w:t>This article can be split into at least three deployable pieces:</w:t>
      </w:r>
    </w:p>
    <w:p>
      <w:pPr>
        <w:pStyle w:val="ListBullet"/>
      </w:pPr>
      <w:r>
        <w:t>Insight: `Repricing and churn decomposition as the first layer of Part D surveillance`</w:t>
      </w:r>
    </w:p>
    <w:p>
      <w:pPr>
        <w:pStyle w:val="ListBullet"/>
      </w:pPr>
      <w:r>
        <w:t>Research: `Low-cost generic tier migration under same-NDC controls`</w:t>
      </w:r>
    </w:p>
    <w:p>
      <w:pPr>
        <w:pStyle w:val="ListBullet"/>
      </w:pPr>
      <w:r>
        <w:t>Research/Insight hybrid: `Sponsor behavioral clustering and watchlist design`</w:t>
      </w:r>
    </w:p>
    <w:p>
      <w:pPr>
        <w:pStyle w:val="Heading3"/>
      </w:pPr>
      <w:r>
        <w:t>Recommended follow-up for split pieces</w:t>
      </w:r>
    </w:p>
    <w:p>
      <w:pPr>
        <w:pStyle w:val="ListBullet"/>
      </w:pPr>
      <w:r>
        <w:t>Add richer cost-share fields to quantify beneficiary impact under each segment.</w:t>
      </w:r>
    </w:p>
    <w:p>
      <w:pPr>
        <w:pStyle w:val="ListBullet"/>
      </w:pPr>
      <w:r>
        <w:t>Add a second quarter pair with stronger matched continuity.</w:t>
      </w:r>
    </w:p>
    <w:p>
      <w:pPr>
        <w:pStyle w:val="ListBullet"/>
      </w:pPr>
      <w:r>
        <w:t>Layer in sponsor UM policy documents and formulary notices for stronger explanatory confidence.</w:t>
      </w:r>
    </w:p>
    <w:p>
      <w:pPr>
        <w:pStyle w:val="Heading2"/>
      </w:pPr>
      <w:r>
        <w:t>Conclusion</w:t>
      </w:r>
    </w:p>
    <w:p>
      <w:r>
        <w:t>The evidence supports a disciplined interpretation: in this window, Part D sponsor behavior is better explained by layered mechanism shifts than by a single price signal. The pattern is consistent with generic tier defensiveness in selected settings, especially where same-NDC controls reduce direct repricing attribution.</w:t>
      </w:r>
    </w:p>
    <w:p>
      <w:r>
        <w:t>The publication decision is therefore not whether all sponsors are moving generics up-tier, but how often higher-tier movement occurs alongside stable same-NDC movement and elevated churn pressure. That distinction separates observation from causal narrative.</w:t>
      </w:r>
    </w:p>
    <w:p>
      <w:pPr>
        <w:pStyle w:val="Heading2"/>
      </w:pPr>
      <w:r>
        <w:t>Sources</w:t>
      </w:r>
    </w:p>
    <w:p>
      <w:pPr>
        <w:pStyle w:val="ListBullet"/>
      </w:pPr>
      <w:r>
        <w:t>[CMS: Part D formulary requirements in PACE application materials](https://www.cms.gov/Medicare/Health-Plans/pace/downloads/part_d_app.pdf)</w:t>
      </w:r>
    </w:p>
    <w:p>
      <w:pPr>
        <w:pStyle w:val="ListBullet"/>
      </w:pPr>
      <w:r>
        <w:t>[CMS Part D Utilization Management guidance](https://www.cms.gov/Medicare/Prescription-Drug-Coverage/PrescriptionDrugCovContra/Downloads/dwnlds/Chapter7pdf)</w:t>
      </w:r>
    </w:p>
    <w:p>
      <w:pPr>
        <w:pStyle w:val="ListBullet"/>
      </w:pPr>
      <w:r>
        <w:t>[Medicare plan rules: step therapy and formulary requirements](https://www.medicare.gov/health-drug-plans/part-d/what-drug-plans-cover/plan-rules)</w:t>
      </w:r>
    </w:p>
    <w:p>
      <w:pPr>
        <w:pStyle w:val="ListBullet"/>
      </w:pPr>
      <w:r>
        <w:t>[CMS: 2025 Part D bid information and redesign context](https://www.cms.gov/newsroom/fact-sheets/cms-releases-2025-medicare-part-d-bid-information-announces-premium-stabilization-demonstration)</w:t>
      </w:r>
    </w:p>
    <w:p>
      <w:pPr>
        <w:pStyle w:val="ListBullet"/>
      </w:pPr>
      <w:r>
        <w:t>[ResDAC: Part D Formulary documentation](https://resdac.org/cms-data/files/part-d-formulary)</w:t>
      </w:r>
    </w:p>
    <w:p>
      <w:pPr>
        <w:pStyle w:val="ListBullet"/>
      </w:pPr>
      <w:r>
        <w:t>SPUF analysis outputs listed in the Internal Evidence Set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