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689"/>
        <w:gridCol w:w="1682"/>
        <w:gridCol w:w="2570"/>
        <w:gridCol w:w="1943"/>
        <w:gridCol w:w="1878"/>
      </w:tblGrid>
      <w:tr w:rsidR="00A32938" w:rsidRPr="00A32938" w14:paraId="40061B17" w14:textId="77777777" w:rsidTr="00A32938">
        <w:tc>
          <w:tcPr>
            <w:tcW w:w="2689" w:type="dxa"/>
            <w:hideMark/>
          </w:tcPr>
          <w:p w14:paraId="6AE35667" w14:textId="77777777" w:rsidR="00A32938" w:rsidRPr="00A32938" w:rsidRDefault="00A32938" w:rsidP="00A32938">
            <w:pPr>
              <w:spacing w:after="160" w:line="259" w:lineRule="auto"/>
              <w:rPr>
                <w:b/>
                <w:bCs/>
              </w:rPr>
            </w:pPr>
            <w:r w:rsidRPr="00A32938">
              <w:rPr>
                <w:b/>
                <w:bCs/>
              </w:rPr>
              <w:t>Paper</w:t>
            </w:r>
          </w:p>
        </w:tc>
        <w:tc>
          <w:tcPr>
            <w:tcW w:w="1682" w:type="dxa"/>
            <w:hideMark/>
          </w:tcPr>
          <w:p w14:paraId="2E768DC7" w14:textId="77777777" w:rsidR="00A32938" w:rsidRPr="00A32938" w:rsidRDefault="00A32938" w:rsidP="00A32938">
            <w:pPr>
              <w:spacing w:after="160" w:line="259" w:lineRule="auto"/>
              <w:rPr>
                <w:b/>
                <w:bCs/>
              </w:rPr>
            </w:pPr>
            <w:r w:rsidRPr="00A32938">
              <w:rPr>
                <w:b/>
                <w:bCs/>
              </w:rPr>
              <w:t>Objective</w:t>
            </w:r>
          </w:p>
        </w:tc>
        <w:tc>
          <w:tcPr>
            <w:tcW w:w="2570" w:type="dxa"/>
            <w:hideMark/>
          </w:tcPr>
          <w:p w14:paraId="1529D58D" w14:textId="77777777" w:rsidR="00A32938" w:rsidRPr="00A32938" w:rsidRDefault="00A32938" w:rsidP="00A32938">
            <w:pPr>
              <w:spacing w:after="160" w:line="259" w:lineRule="auto"/>
              <w:rPr>
                <w:b/>
                <w:bCs/>
              </w:rPr>
            </w:pPr>
            <w:r w:rsidRPr="00A32938">
              <w:rPr>
                <w:b/>
                <w:bCs/>
              </w:rPr>
              <w:t>Methodology</w:t>
            </w:r>
          </w:p>
        </w:tc>
        <w:tc>
          <w:tcPr>
            <w:tcW w:w="1943" w:type="dxa"/>
            <w:hideMark/>
          </w:tcPr>
          <w:p w14:paraId="00F235ED" w14:textId="77777777" w:rsidR="00A32938" w:rsidRPr="00A32938" w:rsidRDefault="00A32938" w:rsidP="00A32938">
            <w:pPr>
              <w:spacing w:after="160" w:line="259" w:lineRule="auto"/>
              <w:rPr>
                <w:b/>
                <w:bCs/>
              </w:rPr>
            </w:pPr>
            <w:r w:rsidRPr="00A32938">
              <w:rPr>
                <w:b/>
                <w:bCs/>
              </w:rPr>
              <w:t>Pros / Cons</w:t>
            </w:r>
          </w:p>
        </w:tc>
        <w:tc>
          <w:tcPr>
            <w:tcW w:w="0" w:type="auto"/>
            <w:hideMark/>
          </w:tcPr>
          <w:p w14:paraId="670B854F" w14:textId="77777777" w:rsidR="00A32938" w:rsidRPr="00A32938" w:rsidRDefault="00A32938" w:rsidP="00A32938">
            <w:pPr>
              <w:spacing w:after="160" w:line="259" w:lineRule="auto"/>
              <w:rPr>
                <w:b/>
                <w:bCs/>
              </w:rPr>
            </w:pPr>
            <w:r w:rsidRPr="00A32938">
              <w:rPr>
                <w:b/>
                <w:bCs/>
              </w:rPr>
              <w:t>Findings</w:t>
            </w:r>
          </w:p>
        </w:tc>
      </w:tr>
      <w:tr w:rsidR="00A32938" w:rsidRPr="00A32938" w14:paraId="4A1D4014" w14:textId="77777777" w:rsidTr="00A32938">
        <w:tc>
          <w:tcPr>
            <w:tcW w:w="2689" w:type="dxa"/>
            <w:hideMark/>
          </w:tcPr>
          <w:p w14:paraId="454A1C2B" w14:textId="77777777" w:rsidR="00A32938" w:rsidRPr="00A32938" w:rsidRDefault="00A32938" w:rsidP="00A32938">
            <w:pPr>
              <w:spacing w:after="160" w:line="259" w:lineRule="auto"/>
            </w:pPr>
            <w:r w:rsidRPr="00A32938">
              <w:rPr>
                <w:b/>
                <w:bCs/>
              </w:rPr>
              <w:t xml:space="preserve">[1] Hong Cai Chen, </w:t>
            </w:r>
            <w:proofErr w:type="spellStart"/>
            <w:r w:rsidRPr="00A32938">
              <w:rPr>
                <w:b/>
                <w:bCs/>
              </w:rPr>
              <w:t>Longchang</w:t>
            </w:r>
            <w:proofErr w:type="spellEnd"/>
            <w:r w:rsidRPr="00A32938">
              <w:rPr>
                <w:b/>
                <w:bCs/>
              </w:rPr>
              <w:t xml:space="preserve"> Wu, Ming Gao, </w:t>
            </w:r>
            <w:proofErr w:type="spellStart"/>
            <w:r w:rsidRPr="00A32938">
              <w:rPr>
                <w:b/>
                <w:bCs/>
              </w:rPr>
              <w:t>Lingrui</w:t>
            </w:r>
            <w:proofErr w:type="spellEnd"/>
            <w:r w:rsidRPr="00A32938">
              <w:rPr>
                <w:b/>
                <w:bCs/>
              </w:rPr>
              <w:t xml:space="preserve"> Shen, Jiarui Zhong, and </w:t>
            </w:r>
            <w:proofErr w:type="spellStart"/>
            <w:r w:rsidRPr="00A32938">
              <w:rPr>
                <w:b/>
                <w:bCs/>
              </w:rPr>
              <w:t>Yipin</w:t>
            </w:r>
            <w:proofErr w:type="spellEnd"/>
            <w:r w:rsidRPr="00A32938">
              <w:rPr>
                <w:b/>
                <w:bCs/>
              </w:rPr>
              <w:t xml:space="preserve"> Xu, “</w:t>
            </w:r>
            <w:proofErr w:type="spellStart"/>
            <w:r w:rsidRPr="00A32938">
              <w:rPr>
                <w:b/>
                <w:bCs/>
              </w:rPr>
              <w:t>DocEDA</w:t>
            </w:r>
            <w:proofErr w:type="spellEnd"/>
            <w:r w:rsidRPr="00A32938">
              <w:rPr>
                <w:b/>
                <w:bCs/>
              </w:rPr>
              <w:t xml:space="preserve">: Automated Extraction and Design of Analog Circuits from Documents with Large Language Model,” </w:t>
            </w:r>
            <w:proofErr w:type="spellStart"/>
            <w:r w:rsidRPr="00A32938">
              <w:rPr>
                <w:b/>
                <w:bCs/>
              </w:rPr>
              <w:t>arXiv</w:t>
            </w:r>
            <w:proofErr w:type="spellEnd"/>
            <w:r w:rsidRPr="00A32938">
              <w:rPr>
                <w:b/>
                <w:bCs/>
              </w:rPr>
              <w:t>, 2024.</w:t>
            </w:r>
          </w:p>
        </w:tc>
        <w:tc>
          <w:tcPr>
            <w:tcW w:w="1682" w:type="dxa"/>
            <w:hideMark/>
          </w:tcPr>
          <w:p w14:paraId="47277D28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>Automate extraction of electrical parameters from circuit datasheets and design documents, reducing manual effort and errors.</w:t>
            </w:r>
          </w:p>
        </w:tc>
        <w:tc>
          <w:tcPr>
            <w:tcW w:w="2570" w:type="dxa"/>
            <w:hideMark/>
          </w:tcPr>
          <w:p w14:paraId="50F931B6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Uses </w:t>
            </w:r>
            <w:r w:rsidRPr="00A32938">
              <w:rPr>
                <w:b/>
                <w:bCs/>
              </w:rPr>
              <w:t>computer vision, datasheet layout analysis, LLM-based parameter extraction, circuit diagram parsing, and topology identification</w:t>
            </w:r>
            <w:r w:rsidRPr="00A32938">
              <w:t>.</w:t>
            </w:r>
          </w:p>
        </w:tc>
        <w:tc>
          <w:tcPr>
            <w:tcW w:w="1943" w:type="dxa"/>
            <w:hideMark/>
          </w:tcPr>
          <w:p w14:paraId="02F4E637" w14:textId="77777777" w:rsidR="00A32938" w:rsidRPr="00A32938" w:rsidRDefault="00A32938" w:rsidP="00A32938">
            <w:pPr>
              <w:spacing w:after="160" w:line="259" w:lineRule="auto"/>
            </w:pPr>
            <w:r w:rsidRPr="00A32938">
              <w:rPr>
                <w:b/>
                <w:bCs/>
              </w:rPr>
              <w:t>Pros:</w:t>
            </w:r>
            <w:r w:rsidRPr="00A32938">
              <w:t xml:space="preserve"> Directly targets circuit documents and automates parameter extraction. </w:t>
            </w:r>
            <w:r w:rsidRPr="00A32938">
              <w:rPr>
                <w:b/>
                <w:bCs/>
              </w:rPr>
              <w:t>Cons:</w:t>
            </w:r>
            <w:r w:rsidRPr="00A32938">
              <w:t xml:space="preserve"> Mainly focuses on extraction and circuit design, with limited summarization and QA.</w:t>
            </w:r>
          </w:p>
        </w:tc>
        <w:tc>
          <w:tcPr>
            <w:tcW w:w="0" w:type="auto"/>
            <w:hideMark/>
          </w:tcPr>
          <w:p w14:paraId="08309052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>Demonstrates efficient and accurate extraction of electronic component parameters and supports automated circuit-document processing.</w:t>
            </w:r>
          </w:p>
        </w:tc>
      </w:tr>
      <w:tr w:rsidR="00A32938" w:rsidRPr="00A32938" w14:paraId="74A59B98" w14:textId="77777777" w:rsidTr="00A32938">
        <w:tc>
          <w:tcPr>
            <w:tcW w:w="2689" w:type="dxa"/>
            <w:hideMark/>
          </w:tcPr>
          <w:p w14:paraId="5F302921" w14:textId="77777777" w:rsidR="00A32938" w:rsidRPr="00A32938" w:rsidRDefault="00A32938" w:rsidP="00A32938">
            <w:pPr>
              <w:spacing w:after="160" w:line="259" w:lineRule="auto"/>
            </w:pPr>
            <w:r w:rsidRPr="00A32938">
              <w:rPr>
                <w:b/>
                <w:bCs/>
              </w:rPr>
              <w:t xml:space="preserve">[2] Shadman Sobhan and Mohammad Ariful Haque, “LLM-Assisted Question-Answering on Technical Documents Using Structured Data-Aware Retrieval Augmented Generation,” </w:t>
            </w:r>
            <w:proofErr w:type="spellStart"/>
            <w:r w:rsidRPr="00A32938">
              <w:rPr>
                <w:b/>
                <w:bCs/>
              </w:rPr>
              <w:t>arXiv</w:t>
            </w:r>
            <w:proofErr w:type="spellEnd"/>
            <w:r w:rsidRPr="00A32938">
              <w:rPr>
                <w:b/>
                <w:bCs/>
              </w:rPr>
              <w:t>, 2025.</w:t>
            </w:r>
          </w:p>
        </w:tc>
        <w:tc>
          <w:tcPr>
            <w:tcW w:w="1682" w:type="dxa"/>
            <w:hideMark/>
          </w:tcPr>
          <w:p w14:paraId="55A6BACB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Improve question answering from technical documents containing </w:t>
            </w:r>
            <w:r w:rsidRPr="00A32938">
              <w:rPr>
                <w:b/>
                <w:bCs/>
              </w:rPr>
              <w:t>tables, images, and scanned pages</w:t>
            </w:r>
            <w:r w:rsidRPr="00A32938">
              <w:t>.</w:t>
            </w:r>
          </w:p>
        </w:tc>
        <w:tc>
          <w:tcPr>
            <w:tcW w:w="2570" w:type="dxa"/>
            <w:hideMark/>
          </w:tcPr>
          <w:p w14:paraId="7858D57C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Combines </w:t>
            </w:r>
            <w:r w:rsidRPr="00A32938">
              <w:rPr>
                <w:b/>
                <w:bCs/>
              </w:rPr>
              <w:t>OCR, vector similarity search, Gemma-2-9B-IT reranking, RAFT, and LLM-based answer generation</w:t>
            </w:r>
            <w:r w:rsidRPr="00A32938">
              <w:t>.</w:t>
            </w:r>
          </w:p>
        </w:tc>
        <w:tc>
          <w:tcPr>
            <w:tcW w:w="1943" w:type="dxa"/>
            <w:hideMark/>
          </w:tcPr>
          <w:p w14:paraId="0302EACA" w14:textId="77777777" w:rsidR="00A32938" w:rsidRPr="00A32938" w:rsidRDefault="00A32938" w:rsidP="00A32938">
            <w:pPr>
              <w:spacing w:after="160" w:line="259" w:lineRule="auto"/>
            </w:pPr>
            <w:r w:rsidRPr="00A32938">
              <w:rPr>
                <w:b/>
                <w:bCs/>
              </w:rPr>
              <w:t>Pros:</w:t>
            </w:r>
            <w:r w:rsidRPr="00A32938">
              <w:t xml:space="preserve"> Handles structured and visual information effectively. </w:t>
            </w:r>
            <w:r w:rsidRPr="00A32938">
              <w:rPr>
                <w:b/>
                <w:bCs/>
              </w:rPr>
              <w:t>Cons:</w:t>
            </w:r>
            <w:r w:rsidRPr="00A32938">
              <w:t xml:space="preserve"> General technical-document approach and not specifically designed for electronic datasheets.</w:t>
            </w:r>
          </w:p>
        </w:tc>
        <w:tc>
          <w:tcPr>
            <w:tcW w:w="0" w:type="auto"/>
            <w:hideMark/>
          </w:tcPr>
          <w:p w14:paraId="21F5FADC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Achieved </w:t>
            </w:r>
            <w:r w:rsidRPr="00A32938">
              <w:rPr>
                <w:b/>
                <w:bCs/>
              </w:rPr>
              <w:t xml:space="preserve">94% RAGAS and 96% </w:t>
            </w:r>
            <w:proofErr w:type="spellStart"/>
            <w:r w:rsidRPr="00A32938">
              <w:rPr>
                <w:b/>
                <w:bCs/>
              </w:rPr>
              <w:t>DeepEval</w:t>
            </w:r>
            <w:proofErr w:type="spellEnd"/>
            <w:r w:rsidRPr="00A32938">
              <w:rPr>
                <w:b/>
                <w:bCs/>
              </w:rPr>
              <w:t xml:space="preserve"> faithfulness</w:t>
            </w:r>
            <w:r w:rsidRPr="00A32938">
              <w:t xml:space="preserve">, with </w:t>
            </w:r>
            <w:r w:rsidRPr="00A32938">
              <w:rPr>
                <w:b/>
                <w:bCs/>
              </w:rPr>
              <w:t>87% and 93% answer relevancy</w:t>
            </w:r>
            <w:r w:rsidRPr="00A32938">
              <w:t>, respectively.</w:t>
            </w:r>
          </w:p>
        </w:tc>
      </w:tr>
      <w:tr w:rsidR="00A32938" w:rsidRPr="00A32938" w14:paraId="082CC19B" w14:textId="77777777" w:rsidTr="00A32938">
        <w:tc>
          <w:tcPr>
            <w:tcW w:w="2689" w:type="dxa"/>
            <w:hideMark/>
          </w:tcPr>
          <w:p w14:paraId="104F069D" w14:textId="77777777" w:rsidR="00A32938" w:rsidRPr="00A32938" w:rsidRDefault="00A32938" w:rsidP="00A32938">
            <w:pPr>
              <w:spacing w:after="160" w:line="259" w:lineRule="auto"/>
            </w:pPr>
            <w:r w:rsidRPr="00A32938">
              <w:rPr>
                <w:b/>
                <w:bCs/>
              </w:rPr>
              <w:t xml:space="preserve">[3] </w:t>
            </w:r>
            <w:proofErr w:type="spellStart"/>
            <w:r w:rsidRPr="00A32938">
              <w:rPr>
                <w:b/>
                <w:bCs/>
              </w:rPr>
              <w:t>Seungjoon</w:t>
            </w:r>
            <w:proofErr w:type="spellEnd"/>
            <w:r w:rsidRPr="00A32938">
              <w:rPr>
                <w:b/>
                <w:bCs/>
              </w:rPr>
              <w:t xml:space="preserve"> Lee and </w:t>
            </w:r>
            <w:proofErr w:type="spellStart"/>
            <w:r w:rsidRPr="00A32938">
              <w:rPr>
                <w:b/>
                <w:bCs/>
              </w:rPr>
              <w:t>Myungryul</w:t>
            </w:r>
            <w:proofErr w:type="spellEnd"/>
            <w:r w:rsidRPr="00A32938">
              <w:rPr>
                <w:b/>
                <w:bCs/>
              </w:rPr>
              <w:t xml:space="preserve"> Choi, “</w:t>
            </w:r>
            <w:proofErr w:type="spellStart"/>
            <w:r w:rsidRPr="00A32938">
              <w:rPr>
                <w:b/>
                <w:bCs/>
              </w:rPr>
              <w:t>TechDocRAG</w:t>
            </w:r>
            <w:proofErr w:type="spellEnd"/>
            <w:r w:rsidRPr="00A32938">
              <w:rPr>
                <w:b/>
                <w:bCs/>
              </w:rPr>
              <w:t>: Relation-Preserving Retrieval-Augmented Generation (RAG) for Technical Documents,” AI, vol. 7, no. 5, 161, 2026.</w:t>
            </w:r>
          </w:p>
        </w:tc>
        <w:tc>
          <w:tcPr>
            <w:tcW w:w="1682" w:type="dxa"/>
            <w:hideMark/>
          </w:tcPr>
          <w:p w14:paraId="42BD7A32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Improve technical-document QA by preserving relationships among </w:t>
            </w:r>
            <w:r w:rsidRPr="00A32938">
              <w:rPr>
                <w:b/>
                <w:bCs/>
              </w:rPr>
              <w:t>text, tables, figures, captions, and procedures</w:t>
            </w:r>
            <w:r w:rsidRPr="00A32938">
              <w:t>.</w:t>
            </w:r>
          </w:p>
        </w:tc>
        <w:tc>
          <w:tcPr>
            <w:tcW w:w="2570" w:type="dxa"/>
            <w:hideMark/>
          </w:tcPr>
          <w:p w14:paraId="7A059CBD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Uses a </w:t>
            </w:r>
            <w:r w:rsidRPr="00A32938">
              <w:rPr>
                <w:b/>
                <w:bCs/>
              </w:rPr>
              <w:t>heterogeneous element graph, identifier-aware retrieval, semantic reranking, and evidence bundling</w:t>
            </w:r>
            <w:r w:rsidRPr="00A32938">
              <w:t>.</w:t>
            </w:r>
          </w:p>
        </w:tc>
        <w:tc>
          <w:tcPr>
            <w:tcW w:w="1943" w:type="dxa"/>
            <w:hideMark/>
          </w:tcPr>
          <w:p w14:paraId="445AF0ED" w14:textId="77777777" w:rsidR="00A32938" w:rsidRPr="00A32938" w:rsidRDefault="00A32938" w:rsidP="00A32938">
            <w:pPr>
              <w:spacing w:after="160" w:line="259" w:lineRule="auto"/>
            </w:pPr>
            <w:r w:rsidRPr="00A32938">
              <w:rPr>
                <w:b/>
                <w:bCs/>
              </w:rPr>
              <w:t>Pros:</w:t>
            </w:r>
            <w:r w:rsidRPr="00A32938">
              <w:t xml:space="preserve"> Preserves relationships and improves evidence grounding. </w:t>
            </w:r>
            <w:r w:rsidRPr="00A32938">
              <w:rPr>
                <w:b/>
                <w:bCs/>
              </w:rPr>
              <w:t>Cons:</w:t>
            </w:r>
            <w:r w:rsidRPr="00A32938">
              <w:t xml:space="preserve"> More complex than conventional vector-based RAG.</w:t>
            </w:r>
          </w:p>
        </w:tc>
        <w:tc>
          <w:tcPr>
            <w:tcW w:w="0" w:type="auto"/>
            <w:hideMark/>
          </w:tcPr>
          <w:p w14:paraId="6FD98E15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>Evaluated on multiple technical-document benchmarks and showed improved retrieval and evidence-grounded QA performance.</w:t>
            </w:r>
          </w:p>
        </w:tc>
      </w:tr>
      <w:tr w:rsidR="00A32938" w:rsidRPr="00A32938" w14:paraId="27B53BF1" w14:textId="77777777" w:rsidTr="00A32938">
        <w:tc>
          <w:tcPr>
            <w:tcW w:w="2689" w:type="dxa"/>
            <w:hideMark/>
          </w:tcPr>
          <w:p w14:paraId="380C0218" w14:textId="77777777" w:rsidR="00A32938" w:rsidRPr="00A32938" w:rsidRDefault="00A32938" w:rsidP="00A32938">
            <w:pPr>
              <w:spacing w:after="160" w:line="259" w:lineRule="auto"/>
            </w:pPr>
            <w:r w:rsidRPr="00A32938">
              <w:rPr>
                <w:b/>
                <w:bCs/>
              </w:rPr>
              <w:t xml:space="preserve">[4] Vincent Perot, Kai Kang, Florian Luisier, </w:t>
            </w:r>
            <w:proofErr w:type="spellStart"/>
            <w:r w:rsidRPr="00A32938">
              <w:rPr>
                <w:b/>
                <w:bCs/>
              </w:rPr>
              <w:t>Guolong</w:t>
            </w:r>
            <w:proofErr w:type="spellEnd"/>
            <w:r w:rsidRPr="00A32938">
              <w:rPr>
                <w:b/>
                <w:bCs/>
              </w:rPr>
              <w:t xml:space="preserve"> Su, Xiaoyu Sun, Ramya Sree Boppana, Zilong Wang, </w:t>
            </w:r>
            <w:proofErr w:type="spellStart"/>
            <w:r w:rsidRPr="00A32938">
              <w:rPr>
                <w:b/>
                <w:bCs/>
              </w:rPr>
              <w:t>Zifeng</w:t>
            </w:r>
            <w:proofErr w:type="spellEnd"/>
            <w:r w:rsidRPr="00A32938">
              <w:rPr>
                <w:b/>
                <w:bCs/>
              </w:rPr>
              <w:t xml:space="preserve"> Wang, Jiaqi Mu, Hao Zhang, Chen-Yu Lee, and Nan Hua, “LMDX: Language Model-based Document Information Extraction and Localization,” Findings of ACL 2024, pp. 15140–15168, 2024.</w:t>
            </w:r>
          </w:p>
        </w:tc>
        <w:tc>
          <w:tcPr>
            <w:tcW w:w="1682" w:type="dxa"/>
            <w:hideMark/>
          </w:tcPr>
          <w:p w14:paraId="3FB921B2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Extract structured information from </w:t>
            </w:r>
            <w:r w:rsidRPr="00A32938">
              <w:rPr>
                <w:b/>
                <w:bCs/>
              </w:rPr>
              <w:t>visually rich and semi-structured documents</w:t>
            </w:r>
            <w:r w:rsidRPr="00A32938">
              <w:t xml:space="preserve"> while locating the extracted entities.</w:t>
            </w:r>
          </w:p>
        </w:tc>
        <w:tc>
          <w:tcPr>
            <w:tcW w:w="2570" w:type="dxa"/>
            <w:hideMark/>
          </w:tcPr>
          <w:p w14:paraId="3C4E6E60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Uses </w:t>
            </w:r>
            <w:r w:rsidRPr="00A32938">
              <w:rPr>
                <w:b/>
                <w:bCs/>
              </w:rPr>
              <w:t>LLMs with layout-aware extraction and document grounding/localization</w:t>
            </w:r>
            <w:r w:rsidRPr="00A32938">
              <w:t xml:space="preserve">, evaluated with </w:t>
            </w:r>
            <w:proofErr w:type="spellStart"/>
            <w:r w:rsidRPr="00A32938">
              <w:t>PaLM</w:t>
            </w:r>
            <w:proofErr w:type="spellEnd"/>
            <w:r w:rsidRPr="00A32938">
              <w:t xml:space="preserve"> 2-S and Gemini Pro.</w:t>
            </w:r>
          </w:p>
        </w:tc>
        <w:tc>
          <w:tcPr>
            <w:tcW w:w="1943" w:type="dxa"/>
            <w:hideMark/>
          </w:tcPr>
          <w:p w14:paraId="27ED2202" w14:textId="77777777" w:rsidR="00A32938" w:rsidRPr="00A32938" w:rsidRDefault="00A32938" w:rsidP="00A32938">
            <w:pPr>
              <w:spacing w:after="160" w:line="259" w:lineRule="auto"/>
            </w:pPr>
            <w:r w:rsidRPr="00A32938">
              <w:rPr>
                <w:b/>
                <w:bCs/>
              </w:rPr>
              <w:t>Pros:</w:t>
            </w:r>
            <w:r w:rsidRPr="00A32938">
              <w:t xml:space="preserve"> Handles document layout and hierarchical entities. </w:t>
            </w:r>
            <w:r w:rsidRPr="00A32938">
              <w:rPr>
                <w:b/>
                <w:bCs/>
              </w:rPr>
              <w:t>Cons:</w:t>
            </w:r>
            <w:r w:rsidRPr="00A32938">
              <w:t xml:space="preserve"> General-purpose framework and not specialized for datasheets.</w:t>
            </w:r>
          </w:p>
        </w:tc>
        <w:tc>
          <w:tcPr>
            <w:tcW w:w="0" w:type="auto"/>
            <w:hideMark/>
          </w:tcPr>
          <w:p w14:paraId="4F3E64FE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Achieved </w:t>
            </w:r>
            <w:r w:rsidRPr="00A32938">
              <w:rPr>
                <w:b/>
                <w:bCs/>
              </w:rPr>
              <w:t>state-of-the-art results on VRDU and CORD benchmarks</w:t>
            </w:r>
            <w:r w:rsidRPr="00A32938">
              <w:t>, demonstrating effective document parsing.</w:t>
            </w:r>
          </w:p>
        </w:tc>
      </w:tr>
      <w:tr w:rsidR="00A32938" w:rsidRPr="00A32938" w14:paraId="3EB4E499" w14:textId="77777777" w:rsidTr="00A32938">
        <w:tc>
          <w:tcPr>
            <w:tcW w:w="2689" w:type="dxa"/>
            <w:hideMark/>
          </w:tcPr>
          <w:p w14:paraId="6EC953F4" w14:textId="77777777" w:rsidR="00A32938" w:rsidRPr="00A32938" w:rsidRDefault="00A32938" w:rsidP="00A32938">
            <w:pPr>
              <w:spacing w:after="160" w:line="259" w:lineRule="auto"/>
            </w:pPr>
            <w:r w:rsidRPr="00A32938">
              <w:rPr>
                <w:b/>
                <w:bCs/>
              </w:rPr>
              <w:lastRenderedPageBreak/>
              <w:t>[5] Ran Liu, Xian-Ling Mao, and Heyan Huang, “</w:t>
            </w:r>
            <w:proofErr w:type="spellStart"/>
            <w:r w:rsidRPr="00A32938">
              <w:rPr>
                <w:b/>
                <w:bCs/>
              </w:rPr>
              <w:t>DSciSum</w:t>
            </w:r>
            <w:proofErr w:type="spellEnd"/>
            <w:r w:rsidRPr="00A32938">
              <w:rPr>
                <w:b/>
                <w:bCs/>
              </w:rPr>
              <w:t>: Detailed Summarization of Long Scientific Documents,” Knowledge-Based Systems, vol. 317, 113409, 2025.</w:t>
            </w:r>
          </w:p>
        </w:tc>
        <w:tc>
          <w:tcPr>
            <w:tcW w:w="1682" w:type="dxa"/>
            <w:hideMark/>
          </w:tcPr>
          <w:p w14:paraId="3CA6BBD1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Generate detailed summaries that preserve </w:t>
            </w:r>
            <w:r w:rsidRPr="00A32938">
              <w:rPr>
                <w:b/>
                <w:bCs/>
              </w:rPr>
              <w:t>important technical information</w:t>
            </w:r>
            <w:r w:rsidRPr="00A32938">
              <w:t xml:space="preserve"> from long documents.</w:t>
            </w:r>
          </w:p>
        </w:tc>
        <w:tc>
          <w:tcPr>
            <w:tcW w:w="2570" w:type="dxa"/>
            <w:hideMark/>
          </w:tcPr>
          <w:p w14:paraId="63800449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Uses an </w:t>
            </w:r>
            <w:r w:rsidRPr="00A32938">
              <w:rPr>
                <w:b/>
                <w:bCs/>
              </w:rPr>
              <w:t>extract-then-generate framework</w:t>
            </w:r>
            <w:r w:rsidRPr="00A32938">
              <w:t>, salient information extraction, LLM-based generation, table-caption information, and LLM-based evaluation.</w:t>
            </w:r>
          </w:p>
        </w:tc>
        <w:tc>
          <w:tcPr>
            <w:tcW w:w="1943" w:type="dxa"/>
            <w:hideMark/>
          </w:tcPr>
          <w:p w14:paraId="413149AC" w14:textId="77777777" w:rsidR="00A32938" w:rsidRPr="00A32938" w:rsidRDefault="00A32938" w:rsidP="00A32938">
            <w:pPr>
              <w:spacing w:after="160" w:line="259" w:lineRule="auto"/>
            </w:pPr>
            <w:r w:rsidRPr="00A32938">
              <w:rPr>
                <w:b/>
                <w:bCs/>
              </w:rPr>
              <w:t>Pros:</w:t>
            </w:r>
            <w:r w:rsidRPr="00A32938">
              <w:t xml:space="preserve"> Preserves fine-grained information. </w:t>
            </w:r>
            <w:r w:rsidRPr="00A32938">
              <w:rPr>
                <w:b/>
                <w:bCs/>
              </w:rPr>
              <w:t>Cons:</w:t>
            </w:r>
            <w:r w:rsidRPr="00A32938">
              <w:t xml:space="preserve"> Designed mainly for scientific documents rather than electronic datasheets.</w:t>
            </w:r>
          </w:p>
        </w:tc>
        <w:tc>
          <w:tcPr>
            <w:tcW w:w="0" w:type="auto"/>
            <w:hideMark/>
          </w:tcPr>
          <w:p w14:paraId="1AE42D91" w14:textId="77777777" w:rsidR="00A32938" w:rsidRPr="00A32938" w:rsidRDefault="00A32938" w:rsidP="00A32938">
            <w:pPr>
              <w:spacing w:after="160" w:line="259" w:lineRule="auto"/>
            </w:pPr>
            <w:r w:rsidRPr="00A32938">
              <w:t xml:space="preserve">Outperformed reference and state-of-the-art models on the </w:t>
            </w:r>
            <w:proofErr w:type="spellStart"/>
            <w:r w:rsidRPr="00A32938">
              <w:rPr>
                <w:b/>
                <w:bCs/>
              </w:rPr>
              <w:t>arXivCap</w:t>
            </w:r>
            <w:proofErr w:type="spellEnd"/>
            <w:r w:rsidRPr="00A32938">
              <w:rPr>
                <w:b/>
                <w:bCs/>
              </w:rPr>
              <w:t xml:space="preserve"> dataset</w:t>
            </w:r>
            <w:r w:rsidRPr="00A32938">
              <w:t xml:space="preserve"> and produced summaries more aligned with human judgments.</w:t>
            </w:r>
          </w:p>
        </w:tc>
      </w:tr>
    </w:tbl>
    <w:p w14:paraId="45D6C431" w14:textId="77777777" w:rsidR="00C054F1" w:rsidRDefault="00C054F1"/>
    <w:sectPr w:rsidR="00C054F1" w:rsidSect="00A3293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7F"/>
    <w:rsid w:val="00165E2E"/>
    <w:rsid w:val="0017457F"/>
    <w:rsid w:val="00845E05"/>
    <w:rsid w:val="00A32938"/>
    <w:rsid w:val="00BB006E"/>
    <w:rsid w:val="00C054F1"/>
    <w:rsid w:val="00E2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97C9"/>
  <w15:chartTrackingRefBased/>
  <w15:docId w15:val="{790A9ACD-EA9F-4128-9BA2-D9DD10EA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5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5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457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745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GOPIADITHYA S</dc:creator>
  <cp:keywords/>
  <dc:description/>
  <cp:lastModifiedBy>GOPIADITHYA S</cp:lastModifiedBy>
  <cp:revision>2</cp:revision>
  <dcterms:created xsi:type="dcterms:W3CDTF">2026-08-18T16:16:00Z</dcterms:created>
  <dcterms:modified xsi:type="dcterms:W3CDTF">2026-08-19T01:56:00Z</dcterms:modified>
</cp:coreProperties>
</file>