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A two-branch filter limits location inference from reports and silence.</w:t>
      </w:r>
    </w:p>
    <w:p>
      <w:pPr>
        <w:pStyle w:val="ListBullet"/>
      </w:pPr>
      <w:r>
        <w:t>Development and validation data define a finite set of location models.</w:t>
      </w:r>
    </w:p>
    <w:p>
      <w:pPr>
        <w:pStyle w:val="ListBullet"/>
      </w:pPr>
      <w:r>
        <w:t>Truthful reports reveal an unavoidable amount of region-specific location detail.</w:t>
      </w:r>
    </w:p>
    <w:p>
      <w:pPr>
        <w:pStyle w:val="ListBullet"/>
      </w:pPr>
      <w:r>
        <w:t>A separate report ceiling restores fine-region service while silence stays strict.</w:t>
      </w:r>
    </w:p>
    <w:p>
      <w:pPr>
        <w:pStyle w:val="ListBullet"/>
      </w:pPr>
      <w:r>
        <w:t>Experiments expose the utility cost and limits of model-set robustness.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