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jc w:val="left"/>
      </w:pPr>
      <w:r>
        <w:rPr>
          <w:rFonts w:ascii="Arial" w:hAnsi="Arial"/>
          <w:b/>
          <w:color w:val="000000"/>
          <w:sz w:val="42"/>
        </w:rPr>
        <w:t>TW1 Part 1 Handoff</w:t>
      </w:r>
    </w:p>
    <w:p>
      <w:pPr>
        <w:spacing w:after="100"/>
      </w:pPr>
      <w:r>
        <w:rPr>
          <w:rFonts w:ascii="Arial" w:hAnsi="Arial"/>
          <w:b/>
          <w:color w:val="595959"/>
          <w:sz w:val="18"/>
        </w:rPr>
        <w:t xml:space="preserve">Source  </w:t>
      </w:r>
      <w:r>
        <w:rPr>
          <w:rFonts w:ascii="Arial" w:hAnsi="Arial"/>
          <w:color w:val="595959"/>
          <w:sz w:val="18"/>
        </w:rPr>
        <w:t xml:space="preserve">B2B SaaS Churn Data.xlsx    </w:t>
      </w:r>
      <w:r>
        <w:rPr>
          <w:rFonts w:ascii="Arial" w:hAnsi="Arial"/>
          <w:b/>
          <w:color w:val="595959"/>
          <w:sz w:val="18"/>
        </w:rPr>
        <w:t xml:space="preserve">Checked  </w:t>
      </w:r>
      <w:r>
        <w:rPr>
          <w:rFonts w:ascii="Arial" w:hAnsi="Arial"/>
          <w:color w:val="595959"/>
          <w:sz w:val="18"/>
        </w:rPr>
        <w:t>September 10 2026</w:t>
      </w:r>
    </w:p>
    <w:p>
      <w:pPr>
        <w:spacing w:after="100" w:line="250" w:lineRule="auto"/>
      </w:pPr>
      <w:r>
        <w:rPr>
          <w:rFonts w:ascii="Arial" w:hAnsi="Arial"/>
          <w:i w:val="0"/>
          <w:color w:val="000000"/>
          <w:sz w:val="21"/>
        </w:rPr>
        <w:t>This handoff provides the six-part structure for the final one-page Red Flags and Strategy Memo. Sections 1 and 5 are complete; teammates should fill Sections 2, 3, 4, and 6 using the verified evidence that follows.</w:t>
      </w:r>
    </w:p>
    <w:p>
      <w:pPr>
        <w:pStyle w:val="Heading1"/>
        <w:keepNext/>
        <w:spacing w:before="160" w:after="60"/>
      </w:pPr>
      <w:r>
        <w:rPr>
          <w:rFonts w:ascii="Arial" w:hAnsi="Arial"/>
          <w:b/>
          <w:color w:val="000000"/>
          <w:sz w:val="28"/>
        </w:rPr>
        <w:t>Deliverable Template</w:t>
      </w:r>
    </w:p>
    <w:p>
      <w:pPr>
        <w:pStyle w:val="Heading2"/>
        <w:keepNext/>
        <w:spacing w:before="100" w:after="60"/>
      </w:pPr>
      <w:r>
        <w:rPr>
          <w:rFonts w:ascii="Arial" w:hAnsi="Arial"/>
          <w:b/>
          <w:color w:val="000000"/>
          <w:sz w:val="23"/>
        </w:rPr>
        <w:t>1 Data Quality Grade Completed</w:t>
      </w:r>
    </w:p>
    <w:p>
      <w:pPr>
        <w:spacing w:after="40" w:line="250" w:lineRule="auto"/>
      </w:pPr>
      <w:r>
        <w:rPr>
          <w:rFonts w:ascii="Arial" w:hAnsi="Arial"/>
          <w:b/>
          <w:color w:val="000000"/>
          <w:sz w:val="21"/>
        </w:rPr>
        <w:t>Grade C</w:t>
      </w:r>
      <w:r>
        <w:rPr>
          <w:rFonts w:ascii="Arial" w:hAnsi="Arial"/>
          <w:i w:val="0"/>
          <w:color w:val="000000"/>
          <w:sz w:val="21"/>
        </w:rPr>
      </w:r>
    </w:p>
    <w:p>
      <w:pPr>
        <w:spacing w:after="80" w:line="250" w:lineRule="auto"/>
      </w:pPr>
      <w:r>
        <w:rPr>
          <w:rFonts w:ascii="Arial" w:hAnsi="Arial"/>
          <w:i w:val="0"/>
          <w:color w:val="000000"/>
          <w:sz w:val="21"/>
        </w:rPr>
        <w:t>The extract is readable and contains 2,500 unique customers, but nine exact duplicates, one conflicting customer ID, inconsistent churn and industry labels, impossible values, and two extreme outliers would distort analysis and campaign targeting. The data can support a high-level churn summary after documented cleaning, but Last_Login_Days_Ago requires a common snapshot date before it can be used reliably in predictive modeling.</w:t>
      </w:r>
    </w:p>
    <w:p>
      <w:pPr>
        <w:pStyle w:val="Heading2"/>
        <w:keepNext/>
        <w:spacing w:before="100" w:after="60"/>
      </w:pPr>
      <w:r>
        <w:rPr>
          <w:rFonts w:ascii="Arial" w:hAnsi="Arial"/>
          <w:b/>
          <w:color w:val="000000"/>
          <w:sz w:val="23"/>
        </w:rPr>
        <w:t>2 Top 3 Critical Errors and Strategic Business Impact</w:t>
      </w:r>
    </w:p>
    <w:p>
      <w:pPr>
        <w:spacing w:after="60" w:line="250" w:lineRule="auto"/>
      </w:pPr>
      <w:r>
        <w:rPr>
          <w:rFonts w:ascii="Arial" w:hAnsi="Arial"/>
          <w:i/>
          <w:color w:val="000000"/>
          <w:sz w:val="21"/>
        </w:rPr>
        <w:t>Team to complete. Select three issues from Part 1 Audit Evidence and explain how each would skew the retention campaign.</w:t>
      </w:r>
    </w:p>
    <w:p>
      <w:pPr>
        <w:pStyle w:val="Heading2"/>
        <w:keepNext/>
        <w:spacing w:before="100" w:after="60"/>
      </w:pPr>
      <w:r>
        <w:rPr>
          <w:rFonts w:ascii="Arial" w:hAnsi="Arial"/>
          <w:b/>
          <w:color w:val="000000"/>
          <w:sz w:val="23"/>
        </w:rPr>
        <w:t>3 Data Leakage Warning</w:t>
      </w:r>
    </w:p>
    <w:p>
      <w:pPr>
        <w:spacing w:after="60" w:line="250" w:lineRule="auto"/>
      </w:pPr>
      <w:r>
        <w:rPr>
          <w:rFonts w:ascii="Arial" w:hAnsi="Arial"/>
          <w:i/>
          <w:color w:val="000000"/>
          <w:sz w:val="21"/>
        </w:rPr>
        <w:t>Team to complete. Identify the column to remove before predictive modeling and explain why it reveals the outcome.</w:t>
      </w:r>
    </w:p>
    <w:p>
      <w:pPr>
        <w:pStyle w:val="Heading2"/>
        <w:keepNext/>
        <w:spacing w:before="100" w:after="60"/>
      </w:pPr>
      <w:r>
        <w:rPr>
          <w:rFonts w:ascii="Arial" w:hAnsi="Arial"/>
          <w:b/>
          <w:color w:val="000000"/>
          <w:sz w:val="23"/>
        </w:rPr>
        <w:t>4 High Level Churn Observation</w:t>
      </w:r>
    </w:p>
    <w:p>
      <w:pPr>
        <w:spacing w:after="60" w:line="250" w:lineRule="auto"/>
      </w:pPr>
      <w:r>
        <w:rPr>
          <w:rFonts w:ascii="Arial" w:hAnsi="Arial"/>
          <w:i/>
          <w:color w:val="000000"/>
          <w:sz w:val="21"/>
        </w:rPr>
        <w:t>Team to complete. Summarize the direction of the 2022 to 2023 change using the Clean results in Part 1 Audit Evidence.</w:t>
      </w:r>
    </w:p>
    <w:p>
      <w:pPr>
        <w:pStyle w:val="Heading2"/>
        <w:keepNext/>
        <w:spacing w:before="100" w:after="60"/>
      </w:pPr>
      <w:r>
        <w:rPr>
          <w:rFonts w:ascii="Arial" w:hAnsi="Arial"/>
          <w:b/>
          <w:color w:val="000000"/>
          <w:sz w:val="23"/>
        </w:rPr>
        <w:t>5 Data Cleaning Strategy Completed</w:t>
      </w:r>
    </w:p>
    <w:p>
      <w:pPr>
        <w:pStyle w:val="ListBullet"/>
        <w:spacing w:after="44" w:line="240" w:lineRule="auto"/>
        <w:ind w:left="317" w:hanging="202"/>
      </w:pPr>
      <w:r>
        <w:rPr>
          <w:rFonts w:ascii="Arial" w:hAnsi="Arial"/>
          <w:b/>
          <w:color w:val="000000"/>
          <w:sz w:val="19"/>
        </w:rPr>
        <w:t xml:space="preserve">Duplicates and labels. </w:t>
      </w:r>
      <w:r>
        <w:rPr>
          <w:rFonts w:ascii="Arial" w:hAnsi="Arial"/>
          <w:color w:val="000000"/>
          <w:sz w:val="19"/>
        </w:rPr>
        <w:t>Remove the nine exact duplicates. For Customer_ID 1002, the reproducible Clean view keeps the first record, coded as 1, and temporarily maps it to No because Date_Cancelled is blank. Keep the conflict flagged for source confirmation.</w:t>
      </w:r>
    </w:p>
    <w:p>
      <w:pPr>
        <w:pStyle w:val="ListBullet"/>
        <w:spacing w:after="44" w:line="240" w:lineRule="auto"/>
        <w:ind w:left="317" w:hanging="202"/>
      </w:pPr>
      <w:r>
        <w:rPr>
          <w:rFonts w:ascii="Arial" w:hAnsi="Arial"/>
          <w:b/>
          <w:color w:val="000000"/>
          <w:sz w:val="19"/>
        </w:rPr>
        <w:t xml:space="preserve">Categories. </w:t>
      </w:r>
      <w:r>
        <w:rPr>
          <w:rFonts w:ascii="Arial" w:hAnsi="Arial"/>
          <w:color w:val="000000"/>
          <w:sz w:val="19"/>
        </w:rPr>
        <w:t>Trim spaces and standardize Industry capitalization, reducing 12 spellings to six industries. Keep Contract_Type Unknown as a separate category with a flag.</w:t>
      </w:r>
    </w:p>
    <w:p>
      <w:pPr>
        <w:pStyle w:val="ListBullet"/>
        <w:spacing w:after="44" w:line="240" w:lineRule="auto"/>
        <w:ind w:left="317" w:hanging="202"/>
      </w:pPr>
      <w:r>
        <w:rPr>
          <w:rFonts w:ascii="Arial" w:hAnsi="Arial"/>
          <w:b/>
          <w:color w:val="000000"/>
          <w:sz w:val="19"/>
        </w:rPr>
        <w:t xml:space="preserve">Missing support tickets. </w:t>
      </w:r>
      <w:r>
        <w:rPr>
          <w:rFonts w:ascii="Arial" w:hAnsi="Arial"/>
          <w:color w:val="000000"/>
          <w:sz w:val="19"/>
        </w:rPr>
        <w:t>Fill blank Support_Tickets values with 0 and keep a missing-value flag. This produces a Clean mean of 1.88. If the team chooses median imputation, use 2; the resulting mean is 1.98.</w:t>
      </w:r>
    </w:p>
    <w:p>
      <w:pPr>
        <w:pStyle w:val="ListBullet"/>
        <w:spacing w:after="44" w:line="240" w:lineRule="auto"/>
        <w:ind w:left="317" w:hanging="202"/>
      </w:pPr>
      <w:r>
        <w:rPr>
          <w:rFonts w:ascii="Arial" w:hAnsi="Arial"/>
          <w:b/>
          <w:color w:val="000000"/>
          <w:sz w:val="19"/>
        </w:rPr>
        <w:t xml:space="preserve">Logical errors. </w:t>
      </w:r>
      <w:r>
        <w:rPr>
          <w:rFonts w:ascii="Arial" w:hAnsi="Arial"/>
          <w:color w:val="000000"/>
          <w:sz w:val="19"/>
        </w:rPr>
        <w:t>Map Churn_Label 1 to Yes only when Date_Cancelled is present; otherwise map it to No, and retain a reconciliation flag. Set negative user, revenue, and login-day values to missing and add flags. Do not take absolute values or guess corrections.</w:t>
      </w:r>
    </w:p>
    <w:p>
      <w:pPr>
        <w:pStyle w:val="ListBullet"/>
        <w:spacing w:after="44" w:line="240" w:lineRule="auto"/>
        <w:ind w:left="317" w:hanging="202"/>
      </w:pPr>
      <w:r>
        <w:rPr>
          <w:rFonts w:ascii="Arial" w:hAnsi="Arial"/>
          <w:b/>
          <w:color w:val="000000"/>
          <w:sz w:val="19"/>
        </w:rPr>
        <w:t xml:space="preserve">Extreme outliers. </w:t>
      </w:r>
      <w:r>
        <w:rPr>
          <w:rFonts w:ascii="Arial" w:hAnsi="Arial"/>
          <w:color w:val="000000"/>
          <w:sz w:val="19"/>
        </w:rPr>
        <w:t>Set the $1,000,000 revenue value and 50,000-user value to missing for baseline and modeling calculations, retain review flags, and confirm them with the source before correction or deletion.</w:t>
      </w:r>
    </w:p>
    <w:p>
      <w:pPr>
        <w:pStyle w:val="ListBullet"/>
        <w:spacing w:after="44" w:line="240" w:lineRule="auto"/>
        <w:ind w:left="317" w:hanging="202"/>
      </w:pPr>
      <w:r>
        <w:rPr>
          <w:rFonts w:ascii="Arial" w:hAnsi="Arial"/>
          <w:b/>
          <w:color w:val="000000"/>
          <w:sz w:val="19"/>
        </w:rPr>
        <w:t xml:space="preserve">Modeling fields. </w:t>
      </w:r>
      <w:r>
        <w:rPr>
          <w:rFonts w:ascii="Arial" w:hAnsi="Arial"/>
          <w:color w:val="000000"/>
          <w:sz w:val="19"/>
        </w:rPr>
        <w:t>Remove Date_Cancelled and Company_Name from model features. Do not use Last_Login_Days_Ago until IT provides a common snapshot date or re-extracts the field using one reference date.</w:t>
      </w:r>
    </w:p>
    <w:p>
      <w:pPr>
        <w:pStyle w:val="Heading2"/>
        <w:keepNext/>
        <w:spacing w:before="100" w:after="60"/>
      </w:pPr>
      <w:r>
        <w:rPr>
          <w:rFonts w:ascii="Arial" w:hAnsi="Arial"/>
          <w:b/>
          <w:color w:val="000000"/>
          <w:sz w:val="23"/>
        </w:rPr>
        <w:t>6 Strategic Data Augmentation Recommendations</w:t>
      </w:r>
    </w:p>
    <w:p>
      <w:pPr>
        <w:spacing w:after="0" w:line="250" w:lineRule="auto"/>
      </w:pPr>
      <w:r>
        <w:rPr>
          <w:rFonts w:ascii="Arial" w:hAnsi="Arial"/>
          <w:i/>
          <w:color w:val="000000"/>
          <w:sz w:val="21"/>
        </w:rPr>
        <w:t>Team to complete. Recommend two or three relevant Zero Party, First Party, or Third Party attributes and explain how each would improve the retention campaign.</w:t>
      </w:r>
    </w:p>
    <w:p>
      <w:r>
        <w:br w:type="page"/>
      </w:r>
    </w:p>
    <w:p>
      <w:pPr>
        <w:pStyle w:val="Heading1"/>
        <w:keepNext/>
        <w:spacing w:before="160" w:after="60"/>
      </w:pPr>
      <w:r>
        <w:rPr>
          <w:rFonts w:ascii="Arial" w:hAnsi="Arial"/>
          <w:b/>
          <w:color w:val="000000"/>
          <w:sz w:val="28"/>
        </w:rPr>
        <w:t>Part 1 Audit Evidence</w:t>
      </w:r>
    </w:p>
    <w:p>
      <w:pPr>
        <w:spacing w:after="100" w:line="250" w:lineRule="auto"/>
      </w:pPr>
      <w:r>
        <w:rPr>
          <w:rFonts w:ascii="Arial" w:hAnsi="Arial"/>
          <w:i w:val="0"/>
          <w:color w:val="000000"/>
          <w:sz w:val="21"/>
        </w:rPr>
        <w:t>The tables below contain the verified Raw and Clean figures teammates need for the remaining memo sections. No further calculation is required. Use Clean results for business conclusions and Raw comparisons for data-quality and outlier impact statements.</w:t>
      </w:r>
    </w:p>
    <w:p>
      <w:pPr>
        <w:pStyle w:val="Heading2"/>
        <w:keepNext/>
        <w:spacing w:before="100" w:after="60"/>
      </w:pPr>
      <w:r>
        <w:rPr>
          <w:rFonts w:ascii="Arial" w:hAnsi="Arial"/>
          <w:b/>
          <w:color w:val="000000"/>
          <w:sz w:val="23"/>
        </w:rPr>
        <w:t>Volume and Redundancy</w:t>
      </w:r>
    </w:p>
    <w:tbl>
      <w:tblPr>
        <w:tblStyle w:val="TableGrid"/>
        <w:tblW w:type="auto" w:w="0"/>
        <w:jc w:val="center"/>
        <w:tblLayout w:type="fixed"/>
        <w:tblLook w:firstColumn="1" w:firstRow="1" w:lastColumn="0" w:lastRow="0" w:noHBand="0" w:noVBand="1" w:val="04A0"/>
      </w:tblPr>
      <w:tblGrid>
        <w:gridCol w:w="5141"/>
        <w:gridCol w:w="5141"/>
      </w:tblGrid>
      <w:tr>
        <w:trPr>
          <w:tblHeader w:val="true"/>
        </w:trPr>
        <w:tc>
          <w:tcPr>
            <w:tcW w:type="dxa" w:w="3672"/>
            <w:shd w:fill="17365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rial" w:hAnsi="Arial"/>
                <w:b/>
                <w:color w:val="FFFFFF"/>
                <w:sz w:val="18"/>
              </w:rPr>
              <w:t>Check</w:t>
            </w:r>
          </w:p>
        </w:tc>
        <w:tc>
          <w:tcPr>
            <w:tcW w:type="dxa" w:w="6408"/>
            <w:shd w:fill="17365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rial" w:hAnsi="Arial"/>
                <w:b/>
                <w:color w:val="FFFFFF"/>
                <w:sz w:val="18"/>
              </w:rPr>
              <w:t>Result</w:t>
            </w:r>
          </w:p>
        </w:tc>
      </w:tr>
      <w:tr>
        <w:trPr>
          <w:cantSplit/>
        </w:trPr>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Rows in the delivered file</w:t>
            </w:r>
          </w:p>
        </w:tc>
        <w:tc>
          <w:tcPr>
            <w:tcW w:type="dxa" w:w="640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2,510; IT claimed 2,500</w:t>
            </w:r>
          </w:p>
        </w:tc>
      </w:tr>
      <w:tr>
        <w:trPr>
          <w:cantSplit/>
        </w:trPr>
        <w:tc>
          <w:tcPr>
            <w:tcW w:type="dxa" w:w="3672"/>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Unique Customer_ID values</w:t>
            </w:r>
          </w:p>
        </w:tc>
        <w:tc>
          <w:tcPr>
            <w:tcW w:type="dxa" w:w="6408"/>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2,500</w:t>
            </w:r>
          </w:p>
        </w:tc>
      </w:tr>
      <w:tr>
        <w:trPr>
          <w:cantSplit/>
        </w:trPr>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Exact duplicate rows</w:t>
            </w:r>
          </w:p>
        </w:tc>
        <w:tc>
          <w:tcPr>
            <w:tcW w:type="dxa" w:w="640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9</w:t>
            </w:r>
          </w:p>
        </w:tc>
      </w:tr>
      <w:tr>
        <w:trPr>
          <w:cantSplit/>
        </w:trPr>
        <w:tc>
          <w:tcPr>
            <w:tcW w:type="dxa" w:w="3672"/>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Rows after exact duplicates</w:t>
            </w:r>
          </w:p>
        </w:tc>
        <w:tc>
          <w:tcPr>
            <w:tcW w:type="dxa" w:w="6408"/>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2,501</w:t>
            </w:r>
          </w:p>
        </w:tc>
      </w:tr>
      <w:tr>
        <w:trPr>
          <w:cantSplit/>
        </w:trPr>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Additional conflicting Customer_ID</w:t>
            </w:r>
          </w:p>
        </w:tc>
        <w:tc>
          <w:tcPr>
            <w:tcW w:type="dxa" w:w="640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1; Customer_ID 1002 has No versus 1</w:t>
            </w:r>
          </w:p>
        </w:tc>
      </w:tr>
      <w:tr>
        <w:trPr>
          <w:cantSplit/>
        </w:trPr>
        <w:tc>
          <w:tcPr>
            <w:tcW w:type="dxa" w:w="3672"/>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Final Clean customers</w:t>
            </w:r>
          </w:p>
        </w:tc>
        <w:tc>
          <w:tcPr>
            <w:tcW w:type="dxa" w:w="6408"/>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2,500</w:t>
            </w:r>
          </w:p>
        </w:tc>
      </w:tr>
    </w:tbl>
    <w:p>
      <w:pPr>
        <w:spacing w:after="0"/>
      </w:pPr>
    </w:p>
    <w:p>
      <w:pPr>
        <w:pStyle w:val="Heading2"/>
        <w:keepNext/>
        <w:spacing w:before="100" w:after="60"/>
      </w:pPr>
      <w:r>
        <w:rPr>
          <w:rFonts w:ascii="Arial" w:hAnsi="Arial"/>
          <w:b/>
          <w:color w:val="000000"/>
          <w:sz w:val="23"/>
        </w:rPr>
        <w:t>Schema and Format</w:t>
      </w:r>
    </w:p>
    <w:tbl>
      <w:tblPr>
        <w:tblStyle w:val="TableGrid"/>
        <w:tblW w:type="auto" w:w="0"/>
        <w:jc w:val="center"/>
        <w:tblLayout w:type="fixed"/>
        <w:tblLook w:firstColumn="1" w:firstRow="1" w:lastColumn="0" w:lastRow="0" w:noHBand="0" w:noVBand="1" w:val="04A0"/>
      </w:tblPr>
      <w:tblGrid>
        <w:gridCol w:w="5141"/>
        <w:gridCol w:w="5141"/>
      </w:tblGrid>
      <w:tr>
        <w:trPr>
          <w:tblHeader w:val="true"/>
        </w:trPr>
        <w:tc>
          <w:tcPr>
            <w:tcW w:type="dxa" w:w="3096"/>
            <w:shd w:fill="17365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rial" w:hAnsi="Arial"/>
                <w:b/>
                <w:color w:val="FFFFFF"/>
                <w:sz w:val="18"/>
              </w:rPr>
              <w:t>Check</w:t>
            </w:r>
          </w:p>
        </w:tc>
        <w:tc>
          <w:tcPr>
            <w:tcW w:type="dxa" w:w="6984"/>
            <w:shd w:fill="17365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rial" w:hAnsi="Arial"/>
                <w:b/>
                <w:color w:val="FFFFFF"/>
                <w:sz w:val="18"/>
              </w:rPr>
              <w:t>Result</w:t>
            </w:r>
          </w:p>
        </w:tc>
      </w:tr>
      <w:tr>
        <w:trPr>
          <w:cantSplit/>
        </w:trPr>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Numeric storage</w:t>
            </w:r>
          </w:p>
        </w:tc>
        <w:tc>
          <w:tcPr>
            <w:tcW w:type="dxa" w:w="6984"/>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All numeric fields are stored as numbers; no currency strings were found</w:t>
            </w:r>
          </w:p>
        </w:tc>
      </w:tr>
      <w:tr>
        <w:trPr>
          <w:cantSplit/>
        </w:trPr>
        <w:tc>
          <w:tcPr>
            <w:tcW w:type="dxa" w:w="3096"/>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Monthly_Revenue display</w:t>
            </w:r>
          </w:p>
        </w:tc>
        <w:tc>
          <w:tcPr>
            <w:tcW w:type="dxa" w:w="6984"/>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378 cells use currency format; 2,132 use General format</w:t>
            </w:r>
          </w:p>
        </w:tc>
      </w:tr>
      <w:tr>
        <w:trPr>
          <w:cantSplit/>
        </w:trPr>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Industry</w:t>
            </w:r>
          </w:p>
        </w:tc>
        <w:tc>
          <w:tcPr>
            <w:tcW w:type="dxa" w:w="6984"/>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12 raw spellings for six industries; 251 lower-case rows in Raw and 250 after exact-duplicate removal</w:t>
            </w:r>
          </w:p>
        </w:tc>
      </w:tr>
      <w:tr>
        <w:trPr>
          <w:cantSplit/>
        </w:trPr>
        <w:tc>
          <w:tcPr>
            <w:tcW w:type="dxa" w:w="3096"/>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Churn_Label</w:t>
            </w:r>
          </w:p>
        </w:tc>
        <w:tc>
          <w:tcPr>
            <w:tcW w:type="dxa" w:w="6984"/>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1,974 No; 486 Yes; 50 numeric 1 entries</w:t>
            </w:r>
          </w:p>
        </w:tc>
      </w:tr>
      <w:tr>
        <w:trPr>
          <w:cantSplit/>
        </w:trPr>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Numeric 1 reconciliation</w:t>
            </w:r>
          </w:p>
        </w:tc>
        <w:tc>
          <w:tcPr>
            <w:tcW w:type="dxa" w:w="6984"/>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7 have Date_Cancelled; 43 do not</w:t>
            </w:r>
          </w:p>
        </w:tc>
      </w:tr>
      <w:tr>
        <w:trPr>
          <w:cantSplit/>
        </w:trPr>
        <w:tc>
          <w:tcPr>
            <w:tcW w:type="dxa" w:w="3096"/>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Contract_Type</w:t>
            </w:r>
          </w:p>
        </w:tc>
        <w:tc>
          <w:tcPr>
            <w:tcW w:type="dxa" w:w="6984"/>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50 Unknown entries</w:t>
            </w:r>
          </w:p>
        </w:tc>
      </w:tr>
      <w:tr>
        <w:trPr>
          <w:cantSplit/>
        </w:trPr>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Support_Tickets</w:t>
            </w:r>
          </w:p>
        </w:tc>
        <w:tc>
          <w:tcPr>
            <w:tcW w:type="dxa" w:w="6984"/>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125 blanks, equal to 5.0% of Raw rows</w:t>
            </w:r>
          </w:p>
        </w:tc>
      </w:tr>
      <w:tr>
        <w:trPr>
          <w:cantSplit/>
        </w:trPr>
        <w:tc>
          <w:tcPr>
            <w:tcW w:type="dxa" w:w="3096"/>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Date_Cancelled</w:t>
            </w:r>
          </w:p>
        </w:tc>
        <w:tc>
          <w:tcPr>
            <w:tcW w:type="dxa" w:w="6984"/>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493 populated; 2,017 blank, normally expected for retained customers</w:t>
            </w:r>
          </w:p>
        </w:tc>
      </w:tr>
    </w:tbl>
    <w:p>
      <w:pPr>
        <w:spacing w:after="0"/>
      </w:pPr>
    </w:p>
    <w:p>
      <w:pPr>
        <w:pStyle w:val="Heading2"/>
        <w:keepNext/>
        <w:spacing w:before="100" w:after="60"/>
      </w:pPr>
      <w:r>
        <w:rPr>
          <w:rFonts w:ascii="Arial" w:hAnsi="Arial"/>
          <w:b/>
          <w:color w:val="000000"/>
          <w:sz w:val="23"/>
        </w:rPr>
        <w:t>Logical Errors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880"/>
            <w:shd w:fill="17365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rial" w:hAnsi="Arial"/>
                <w:b/>
                <w:color w:val="FFFFFF"/>
                <w:sz w:val="18"/>
              </w:rPr>
              <w:t>Field</w:t>
            </w:r>
          </w:p>
        </w:tc>
        <w:tc>
          <w:tcPr>
            <w:tcW w:type="dxa" w:w="6048"/>
            <w:shd w:fill="17365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rial" w:hAnsi="Arial"/>
                <w:b/>
                <w:color w:val="FFFFFF"/>
                <w:sz w:val="18"/>
              </w:rPr>
              <w:t>Problem</w:t>
            </w:r>
          </w:p>
        </w:tc>
        <w:tc>
          <w:tcPr>
            <w:tcW w:type="dxa" w:w="1152"/>
            <w:shd w:fill="17365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rial" w:hAnsi="Arial"/>
                <w:b/>
                <w:color w:val="FFFFFF"/>
                <w:sz w:val="18"/>
              </w:rPr>
              <w:t>Count</w:t>
            </w:r>
          </w:p>
        </w:tc>
      </w:tr>
      <w:tr>
        <w:trPr>
          <w:cantSplit/>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Total_Users</w:t>
            </w:r>
          </w:p>
        </w:tc>
        <w:tc>
          <w:tcPr>
            <w:tcW w:type="dxa" w:w="604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-10; Customer_ID 1062</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center"/>
            </w:pPr>
            <w:r>
              <w:rPr>
                <w:rFonts w:ascii="Arial" w:hAnsi="Arial"/>
                <w:color w:val="000000"/>
                <w:sz w:val="18"/>
              </w:rPr>
              <w:t>1</w:t>
            </w:r>
          </w:p>
        </w:tc>
      </w:tr>
      <w:tr>
        <w:trPr>
          <w:cantSplit/>
        </w:trPr>
        <w:tc>
          <w:tcPr>
            <w:tcW w:type="dxa" w:w="2880"/>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Monthly_Revenue</w:t>
            </w:r>
          </w:p>
        </w:tc>
        <w:tc>
          <w:tcPr>
            <w:tcW w:type="dxa" w:w="6048"/>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-$500; Customer_ID 1052</w:t>
            </w:r>
          </w:p>
        </w:tc>
        <w:tc>
          <w:tcPr>
            <w:tcW w:type="dxa" w:w="1152"/>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center"/>
            </w:pPr>
            <w:r>
              <w:rPr>
                <w:rFonts w:ascii="Arial" w:hAnsi="Arial"/>
                <w:color w:val="000000"/>
                <w:sz w:val="18"/>
              </w:rPr>
              <w:t>1</w:t>
            </w:r>
          </w:p>
        </w:tc>
      </w:tr>
      <w:tr>
        <w:trPr>
          <w:cantSplit/>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Last_Login_Days_Ago</w:t>
            </w:r>
          </w:p>
        </w:tc>
        <w:tc>
          <w:tcPr>
            <w:tcW w:type="dxa" w:w="604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-5</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center"/>
            </w:pPr>
            <w:r>
              <w:rPr>
                <w:rFonts w:ascii="Arial" w:hAnsi="Arial"/>
                <w:color w:val="000000"/>
                <w:sz w:val="18"/>
              </w:rPr>
              <w:t>50</w:t>
            </w:r>
          </w:p>
        </w:tc>
      </w:tr>
      <w:tr>
        <w:trPr>
          <w:cantSplit/>
        </w:trPr>
        <w:tc>
          <w:tcPr>
            <w:tcW w:type="dxa" w:w="2880"/>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Churn_Label</w:t>
            </w:r>
          </w:p>
        </w:tc>
        <w:tc>
          <w:tcPr>
            <w:tcW w:type="dxa" w:w="6048"/>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Coded as 1 without Date_Cancelled</w:t>
            </w:r>
          </w:p>
        </w:tc>
        <w:tc>
          <w:tcPr>
            <w:tcW w:type="dxa" w:w="1152"/>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center"/>
            </w:pPr>
            <w:r>
              <w:rPr>
                <w:rFonts w:ascii="Arial" w:hAnsi="Arial"/>
                <w:color w:val="000000"/>
                <w:sz w:val="18"/>
              </w:rPr>
              <w:t>43</w:t>
            </w:r>
          </w:p>
        </w:tc>
      </w:tr>
      <w:tr>
        <w:trPr>
          <w:cantSplit/>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Date_Cancelled</w:t>
            </w:r>
          </w:p>
        </w:tc>
        <w:tc>
          <w:tcPr>
            <w:tcW w:type="dxa" w:w="604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Earlier than Join_Date</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center"/>
            </w:pPr>
            <w:r>
              <w:rPr>
                <w:rFonts w:ascii="Arial" w:hAnsi="Arial"/>
                <w:color w:val="000000"/>
                <w:sz w:val="18"/>
              </w:rPr>
              <w:t>0</w:t>
            </w:r>
          </w:p>
        </w:tc>
      </w:tr>
      <w:tr>
        <w:trPr>
          <w:cantSplit/>
        </w:trPr>
        <w:tc>
          <w:tcPr>
            <w:tcW w:type="dxa" w:w="2880"/>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Churn_Label No</w:t>
            </w:r>
          </w:p>
        </w:tc>
        <w:tc>
          <w:tcPr>
            <w:tcW w:type="dxa" w:w="6048"/>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Date_Cancelled populated</w:t>
            </w:r>
          </w:p>
        </w:tc>
        <w:tc>
          <w:tcPr>
            <w:tcW w:type="dxa" w:w="1152"/>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center"/>
            </w:pPr>
            <w:r>
              <w:rPr>
                <w:rFonts w:ascii="Arial" w:hAnsi="Arial"/>
                <w:color w:val="000000"/>
                <w:sz w:val="18"/>
              </w:rPr>
              <w:t>0</w:t>
            </w:r>
          </w:p>
        </w:tc>
      </w:tr>
    </w:tbl>
    <w:p>
      <w:pPr>
        <w:spacing w:after="0"/>
      </w:pPr>
    </w:p>
    <w:p>
      <w:pPr>
        <w:spacing w:after="80" w:line="250" w:lineRule="auto"/>
      </w:pPr>
      <w:r>
        <w:rPr>
          <w:rFonts w:ascii="Arial" w:hAnsi="Arial"/>
          <w:i/>
          <w:color w:val="000000"/>
          <w:sz w:val="21"/>
        </w:rPr>
        <w:t>The 43 rows coded as 1 without a cancellation date are label inconsistencies, not confirmed churn.</w:t>
      </w:r>
    </w:p>
    <w:p>
      <w:pPr>
        <w:pStyle w:val="Heading2"/>
        <w:keepNext/>
        <w:spacing w:before="100" w:after="60"/>
      </w:pPr>
      <w:r>
        <w:rPr>
          <w:rFonts w:ascii="Arial" w:hAnsi="Arial"/>
          <w:b/>
          <w:color w:val="000000"/>
          <w:sz w:val="23"/>
        </w:rPr>
        <w:t>Label Reconciliation</w:t>
      </w:r>
    </w:p>
    <w:tbl>
      <w:tblPr>
        <w:tblStyle w:val="TableGrid"/>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4320"/>
            <w:shd w:fill="17365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rial" w:hAnsi="Arial"/>
                <w:b/>
                <w:color w:val="FFFFFF"/>
                <w:sz w:val="18"/>
              </w:rPr>
              <w:t>Stage</w:t>
            </w:r>
          </w:p>
        </w:tc>
        <w:tc>
          <w:tcPr>
            <w:tcW w:type="dxa" w:w="1152"/>
            <w:shd w:fill="17365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rial" w:hAnsi="Arial"/>
                <w:b/>
                <w:color w:val="FFFFFF"/>
                <w:sz w:val="18"/>
              </w:rPr>
              <w:t>Yes</w:t>
            </w:r>
          </w:p>
        </w:tc>
        <w:tc>
          <w:tcPr>
            <w:tcW w:type="dxa" w:w="1296"/>
            <w:shd w:fill="17365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rial" w:hAnsi="Arial"/>
                <w:b/>
                <w:color w:val="FFFFFF"/>
                <w:sz w:val="18"/>
              </w:rPr>
              <w:t>No</w:t>
            </w:r>
          </w:p>
        </w:tc>
        <w:tc>
          <w:tcPr>
            <w:tcW w:type="dxa" w:w="1872"/>
            <w:shd w:fill="17365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rial" w:hAnsi="Arial"/>
                <w:b/>
                <w:color w:val="FFFFFF"/>
                <w:sz w:val="18"/>
              </w:rPr>
              <w:t>Ambiguous 1</w:t>
            </w:r>
          </w:p>
        </w:tc>
        <w:tc>
          <w:tcPr>
            <w:tcW w:type="dxa" w:w="1440"/>
            <w:shd w:fill="17365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rial" w:hAnsi="Arial"/>
                <w:b/>
                <w:color w:val="FFFFFF"/>
                <w:sz w:val="18"/>
              </w:rPr>
              <w:t>Total</w:t>
            </w:r>
          </w:p>
        </w:tc>
      </w:tr>
      <w:tr>
        <w:trPr>
          <w:cantSplit/>
        </w:trPr>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7"/>
              </w:rPr>
              <w:t>Raw file</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center"/>
            </w:pPr>
            <w:r>
              <w:rPr>
                <w:rFonts w:ascii="Arial" w:hAnsi="Arial"/>
                <w:color w:val="000000"/>
                <w:sz w:val="17"/>
              </w:rPr>
              <w:t>486</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center"/>
            </w:pPr>
            <w:r>
              <w:rPr>
                <w:rFonts w:ascii="Arial" w:hAnsi="Arial"/>
                <w:color w:val="000000"/>
                <w:sz w:val="17"/>
              </w:rPr>
              <w:t>1,974</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center"/>
            </w:pPr>
            <w:r>
              <w:rPr>
                <w:rFonts w:ascii="Arial" w:hAnsi="Arial"/>
                <w:color w:val="000000"/>
                <w:sz w:val="17"/>
              </w:rPr>
              <w:t>50</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center"/>
            </w:pPr>
            <w:r>
              <w:rPr>
                <w:rFonts w:ascii="Arial" w:hAnsi="Arial"/>
                <w:color w:val="000000"/>
                <w:sz w:val="17"/>
              </w:rPr>
              <w:t>2,510</w:t>
            </w:r>
          </w:p>
        </w:tc>
      </w:tr>
      <w:tr>
        <w:trPr>
          <w:cantSplit/>
        </w:trPr>
        <w:tc>
          <w:tcPr>
            <w:tcW w:type="dxa" w:w="4320"/>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7"/>
              </w:rPr>
              <w:t>After exact duplicates</w:t>
            </w:r>
          </w:p>
        </w:tc>
        <w:tc>
          <w:tcPr>
            <w:tcW w:type="dxa" w:w="1152"/>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center"/>
            </w:pPr>
            <w:r>
              <w:rPr>
                <w:rFonts w:ascii="Arial" w:hAnsi="Arial"/>
                <w:color w:val="000000"/>
                <w:sz w:val="17"/>
              </w:rPr>
              <w:t>484</w:t>
            </w:r>
          </w:p>
        </w:tc>
        <w:tc>
          <w:tcPr>
            <w:tcW w:type="dxa" w:w="1296"/>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center"/>
            </w:pPr>
            <w:r>
              <w:rPr>
                <w:rFonts w:ascii="Arial" w:hAnsi="Arial"/>
                <w:color w:val="000000"/>
                <w:sz w:val="17"/>
              </w:rPr>
              <w:t>1,967</w:t>
            </w:r>
          </w:p>
        </w:tc>
        <w:tc>
          <w:tcPr>
            <w:tcW w:type="dxa" w:w="1872"/>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center"/>
            </w:pPr>
            <w:r>
              <w:rPr>
                <w:rFonts w:ascii="Arial" w:hAnsi="Arial"/>
                <w:color w:val="000000"/>
                <w:sz w:val="17"/>
              </w:rPr>
              <w:t>50</w:t>
            </w:r>
          </w:p>
        </w:tc>
        <w:tc>
          <w:tcPr>
            <w:tcW w:type="dxa" w:w="1440"/>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center"/>
            </w:pPr>
            <w:r>
              <w:rPr>
                <w:rFonts w:ascii="Arial" w:hAnsi="Arial"/>
                <w:color w:val="000000"/>
                <w:sz w:val="17"/>
              </w:rPr>
              <w:t>2,501</w:t>
            </w:r>
          </w:p>
        </w:tc>
      </w:tr>
      <w:tr>
        <w:trPr>
          <w:cantSplit/>
        </w:trPr>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7"/>
              </w:rPr>
              <w:t>After Customer_ID 1002 resolution</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center"/>
            </w:pPr>
            <w:r>
              <w:rPr>
                <w:rFonts w:ascii="Arial" w:hAnsi="Arial"/>
                <w:color w:val="000000"/>
                <w:sz w:val="17"/>
              </w:rPr>
              <w:t>484</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center"/>
            </w:pPr>
            <w:r>
              <w:rPr>
                <w:rFonts w:ascii="Arial" w:hAnsi="Arial"/>
                <w:color w:val="000000"/>
                <w:sz w:val="17"/>
              </w:rPr>
              <w:t>1,966</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center"/>
            </w:pPr>
            <w:r>
              <w:rPr>
                <w:rFonts w:ascii="Arial" w:hAnsi="Arial"/>
                <w:color w:val="000000"/>
                <w:sz w:val="17"/>
              </w:rPr>
              <w:t>50</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center"/>
            </w:pPr>
            <w:r>
              <w:rPr>
                <w:rFonts w:ascii="Arial" w:hAnsi="Arial"/>
                <w:color w:val="000000"/>
                <w:sz w:val="17"/>
              </w:rPr>
              <w:t>2,500</w:t>
            </w:r>
          </w:p>
        </w:tc>
      </w:tr>
      <w:tr>
        <w:trPr>
          <w:cantSplit/>
        </w:trPr>
        <w:tc>
          <w:tcPr>
            <w:tcW w:type="dxa" w:w="4320"/>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7"/>
              </w:rPr>
              <w:t>Clean view after date-based mapping</w:t>
            </w:r>
          </w:p>
        </w:tc>
        <w:tc>
          <w:tcPr>
            <w:tcW w:type="dxa" w:w="1152"/>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center"/>
            </w:pPr>
            <w:r>
              <w:rPr>
                <w:rFonts w:ascii="Arial" w:hAnsi="Arial"/>
                <w:color w:val="000000"/>
                <w:sz w:val="17"/>
              </w:rPr>
              <w:t>491</w:t>
            </w:r>
          </w:p>
        </w:tc>
        <w:tc>
          <w:tcPr>
            <w:tcW w:type="dxa" w:w="1296"/>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center"/>
            </w:pPr>
            <w:r>
              <w:rPr>
                <w:rFonts w:ascii="Arial" w:hAnsi="Arial"/>
                <w:color w:val="000000"/>
                <w:sz w:val="17"/>
              </w:rPr>
              <w:t>2,009</w:t>
            </w:r>
          </w:p>
        </w:tc>
        <w:tc>
          <w:tcPr>
            <w:tcW w:type="dxa" w:w="1872"/>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center"/>
            </w:pPr>
            <w:r>
              <w:rPr>
                <w:rFonts w:ascii="Arial" w:hAnsi="Arial"/>
                <w:color w:val="000000"/>
                <w:sz w:val="17"/>
              </w:rPr>
              <w:t>0</w:t>
            </w:r>
          </w:p>
        </w:tc>
        <w:tc>
          <w:tcPr>
            <w:tcW w:type="dxa" w:w="1440"/>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center"/>
            </w:pPr>
            <w:r>
              <w:rPr>
                <w:rFonts w:ascii="Arial" w:hAnsi="Arial"/>
                <w:color w:val="000000"/>
                <w:sz w:val="17"/>
              </w:rPr>
              <w:t>2,500</w:t>
            </w:r>
          </w:p>
        </w:tc>
      </w:tr>
    </w:tbl>
    <w:p>
      <w:pPr>
        <w:spacing w:after="0"/>
      </w:pPr>
    </w:p>
    <w:p>
      <w:pPr>
        <w:pStyle w:val="Heading2"/>
        <w:keepNext/>
        <w:spacing w:before="100" w:after="60"/>
      </w:pPr>
      <w:r>
        <w:rPr>
          <w:rFonts w:ascii="Arial" w:hAnsi="Arial"/>
          <w:b/>
          <w:color w:val="000000"/>
          <w:sz w:val="23"/>
        </w:rPr>
        <w:t>Final Clean Metrics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3312"/>
            <w:shd w:fill="17365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rial" w:hAnsi="Arial"/>
                <w:b/>
                <w:color w:val="FFFFFF"/>
                <w:sz w:val="18"/>
              </w:rPr>
              <w:t>Metric</w:t>
            </w:r>
          </w:p>
        </w:tc>
        <w:tc>
          <w:tcPr>
            <w:tcW w:type="dxa" w:w="4464"/>
            <w:shd w:fill="17365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rial" w:hAnsi="Arial"/>
                <w:b/>
                <w:color w:val="FFFFFF"/>
                <w:sz w:val="18"/>
              </w:rPr>
              <w:t>Numerator and Denominator</w:t>
            </w:r>
          </w:p>
        </w:tc>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rial" w:hAnsi="Arial"/>
                <w:b/>
                <w:color w:val="FFFFFF"/>
                <w:sz w:val="18"/>
              </w:rPr>
              <w:t>Clean Result</w:t>
            </w:r>
          </w:p>
        </w:tc>
      </w:tr>
      <w:tr>
        <w:trPr>
          <w:cantSplit/>
        </w:trPr>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Overall churn</w:t>
            </w:r>
          </w:p>
        </w:tc>
        <w:tc>
          <w:tcPr>
            <w:tcW w:type="dxa" w:w="4464"/>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491 / 2,500</w:t>
            </w:r>
          </w:p>
        </w:tc>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center"/>
            </w:pPr>
            <w:r>
              <w:rPr>
                <w:rFonts w:ascii="Arial" w:hAnsi="Arial"/>
                <w:color w:val="000000"/>
                <w:sz w:val="18"/>
              </w:rPr>
              <w:t>19.6%</w:t>
            </w:r>
          </w:p>
        </w:tc>
      </w:tr>
      <w:tr>
        <w:trPr>
          <w:cantSplit/>
        </w:trPr>
        <w:tc>
          <w:tcPr>
            <w:tcW w:type="dxa" w:w="3312"/>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2022 churn</w:t>
            </w:r>
          </w:p>
        </w:tc>
        <w:tc>
          <w:tcPr>
            <w:tcW w:type="dxa" w:w="4464"/>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145 / 1,653 active customers</w:t>
            </w:r>
          </w:p>
        </w:tc>
        <w:tc>
          <w:tcPr>
            <w:tcW w:type="dxa" w:w="2304"/>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center"/>
            </w:pPr>
            <w:r>
              <w:rPr>
                <w:rFonts w:ascii="Arial" w:hAnsi="Arial"/>
                <w:color w:val="000000"/>
                <w:sz w:val="18"/>
              </w:rPr>
              <w:t>8.8%</w:t>
            </w:r>
          </w:p>
        </w:tc>
      </w:tr>
      <w:tr>
        <w:trPr>
          <w:cantSplit/>
        </w:trPr>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2023 churn</w:t>
            </w:r>
          </w:p>
        </w:tc>
        <w:tc>
          <w:tcPr>
            <w:tcW w:type="dxa" w:w="4464"/>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346 / 2,355 active customers</w:t>
            </w:r>
          </w:p>
        </w:tc>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center"/>
            </w:pPr>
            <w:r>
              <w:rPr>
                <w:rFonts w:ascii="Arial" w:hAnsi="Arial"/>
                <w:color w:val="000000"/>
                <w:sz w:val="18"/>
              </w:rPr>
              <w:t>14.7%</w:t>
            </w:r>
          </w:p>
        </w:tc>
      </w:tr>
      <w:tr>
        <w:trPr>
          <w:cantSplit/>
        </w:trPr>
        <w:tc>
          <w:tcPr>
            <w:tcW w:type="dxa" w:w="3312"/>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Change in cancellations</w:t>
            </w:r>
          </w:p>
        </w:tc>
        <w:tc>
          <w:tcPr>
            <w:tcW w:type="dxa" w:w="4464"/>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346 / 145</w:t>
            </w:r>
          </w:p>
        </w:tc>
        <w:tc>
          <w:tcPr>
            <w:tcW w:type="dxa" w:w="2304"/>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center"/>
            </w:pPr>
            <w:r>
              <w:rPr>
                <w:rFonts w:ascii="Arial" w:hAnsi="Arial"/>
                <w:color w:val="000000"/>
                <w:sz w:val="18"/>
              </w:rPr>
              <w:t>2.39x</w:t>
            </w:r>
          </w:p>
        </w:tc>
      </w:tr>
      <w:tr>
        <w:trPr>
          <w:cantSplit/>
        </w:trPr>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Largest industry</w:t>
            </w:r>
          </w:p>
        </w:tc>
        <w:tc>
          <w:tcPr>
            <w:tcW w:type="dxa" w:w="4464"/>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Retail 445 / 2,500</w:t>
            </w:r>
          </w:p>
        </w:tc>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center"/>
            </w:pPr>
            <w:r>
              <w:rPr>
                <w:rFonts w:ascii="Arial" w:hAnsi="Arial"/>
                <w:color w:val="000000"/>
                <w:sz w:val="18"/>
              </w:rPr>
              <w:t>17.8% of customers</w:t>
            </w:r>
          </w:p>
        </w:tc>
      </w:tr>
      <w:tr>
        <w:trPr>
          <w:cantSplit/>
        </w:trPr>
        <w:tc>
          <w:tcPr>
            <w:tcW w:type="dxa" w:w="3312"/>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Highest industry churn</w:t>
            </w:r>
          </w:p>
        </w:tc>
        <w:tc>
          <w:tcPr>
            <w:tcW w:type="dxa" w:w="4464"/>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Education 91 / 401</w:t>
            </w:r>
          </w:p>
        </w:tc>
        <w:tc>
          <w:tcPr>
            <w:tcW w:type="dxa" w:w="2304"/>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center"/>
            </w:pPr>
            <w:r>
              <w:rPr>
                <w:rFonts w:ascii="Arial" w:hAnsi="Arial"/>
                <w:color w:val="000000"/>
                <w:sz w:val="18"/>
              </w:rPr>
              <w:t>22.7%</w:t>
            </w:r>
          </w:p>
        </w:tc>
      </w:tr>
      <w:tr>
        <w:trPr>
          <w:cantSplit/>
        </w:trPr>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Month-to-Month churn</w:t>
            </w:r>
          </w:p>
        </w:tc>
        <w:tc>
          <w:tcPr>
            <w:tcW w:type="dxa" w:w="4464"/>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268 / 817</w:t>
            </w:r>
          </w:p>
        </w:tc>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center"/>
            </w:pPr>
            <w:r>
              <w:rPr>
                <w:rFonts w:ascii="Arial" w:hAnsi="Arial"/>
                <w:color w:val="000000"/>
                <w:sz w:val="18"/>
              </w:rPr>
              <w:t>32.8%</w:t>
            </w:r>
          </w:p>
        </w:tc>
      </w:tr>
      <w:tr>
        <w:trPr>
          <w:cantSplit/>
        </w:trPr>
        <w:tc>
          <w:tcPr>
            <w:tcW w:type="dxa" w:w="3312"/>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1 Year churn</w:t>
            </w:r>
          </w:p>
        </w:tc>
        <w:tc>
          <w:tcPr>
            <w:tcW w:type="dxa" w:w="4464"/>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107 / 820</w:t>
            </w:r>
          </w:p>
        </w:tc>
        <w:tc>
          <w:tcPr>
            <w:tcW w:type="dxa" w:w="2304"/>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center"/>
            </w:pPr>
            <w:r>
              <w:rPr>
                <w:rFonts w:ascii="Arial" w:hAnsi="Arial"/>
                <w:color w:val="000000"/>
                <w:sz w:val="18"/>
              </w:rPr>
              <w:t>13.0%</w:t>
            </w:r>
          </w:p>
        </w:tc>
      </w:tr>
      <w:tr>
        <w:trPr>
          <w:cantSplit/>
        </w:trPr>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2 Year churn</w:t>
            </w:r>
          </w:p>
        </w:tc>
        <w:tc>
          <w:tcPr>
            <w:tcW w:type="dxa" w:w="4464"/>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108 / 813</w:t>
            </w:r>
          </w:p>
        </w:tc>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center"/>
            </w:pPr>
            <w:r>
              <w:rPr>
                <w:rFonts w:ascii="Arial" w:hAnsi="Arial"/>
                <w:color w:val="000000"/>
                <w:sz w:val="18"/>
              </w:rPr>
              <w:t>13.3%</w:t>
            </w:r>
          </w:p>
        </w:tc>
      </w:tr>
      <w:tr>
        <w:trPr>
          <w:cantSplit/>
        </w:trPr>
        <w:tc>
          <w:tcPr>
            <w:tcW w:type="dxa" w:w="3312"/>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Unknown contract churn</w:t>
            </w:r>
          </w:p>
        </w:tc>
        <w:tc>
          <w:tcPr>
            <w:tcW w:type="dxa" w:w="4464"/>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8 / 50</w:t>
            </w:r>
          </w:p>
        </w:tc>
        <w:tc>
          <w:tcPr>
            <w:tcW w:type="dxa" w:w="2304"/>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center"/>
            </w:pPr>
            <w:r>
              <w:rPr>
                <w:rFonts w:ascii="Arial" w:hAnsi="Arial"/>
                <w:color w:val="000000"/>
                <w:sz w:val="18"/>
              </w:rPr>
              <w:t>16.0%</w:t>
            </w:r>
          </w:p>
        </w:tc>
      </w:tr>
    </w:tbl>
    <w:p>
      <w:pPr>
        <w:spacing w:after="0"/>
      </w:pPr>
    </w:p>
    <w:p>
      <w:pPr>
        <w:pStyle w:val="Heading2"/>
        <w:keepNext/>
        <w:spacing w:before="100" w:after="60"/>
      </w:pPr>
      <w:r>
        <w:rPr>
          <w:rFonts w:ascii="Arial" w:hAnsi="Arial"/>
          <w:b/>
          <w:color w:val="000000"/>
          <w:sz w:val="23"/>
        </w:rPr>
        <w:t>Extreme Outliers and Baseline Impact</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trPr>
        <w:tc>
          <w:tcPr>
            <w:tcW w:type="dxa" w:w="1944"/>
            <w:shd w:fill="17365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rial" w:hAnsi="Arial"/>
                <w:b/>
                <w:color w:val="FFFFFF"/>
                <w:sz w:val="18"/>
              </w:rPr>
              <w:t>Field</w:t>
            </w:r>
          </w:p>
        </w:tc>
        <w:tc>
          <w:tcPr>
            <w:tcW w:type="dxa" w:w="2664"/>
            <w:shd w:fill="17365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rial" w:hAnsi="Arial"/>
                <w:b/>
                <w:color w:val="FFFFFF"/>
                <w:sz w:val="18"/>
              </w:rPr>
              <w:t>Outlier</w:t>
            </w:r>
          </w:p>
        </w:tc>
        <w:tc>
          <w:tcPr>
            <w:tcW w:type="dxa" w:w="3816"/>
            <w:shd w:fill="17365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rial" w:hAnsi="Arial"/>
                <w:b/>
                <w:color w:val="FFFFFF"/>
                <w:sz w:val="18"/>
              </w:rPr>
              <w:t>Raw Effect</w:t>
            </w:r>
          </w:p>
        </w:tc>
        <w:tc>
          <w:tcPr>
            <w:tcW w:type="dxa" w:w="2376"/>
            <w:shd w:fill="17365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rial" w:hAnsi="Arial"/>
                <w:b/>
                <w:color w:val="FFFFFF"/>
                <w:sz w:val="18"/>
              </w:rPr>
              <w:t>Clean Baseline</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7"/>
              </w:rPr>
              <w:t>Monthly_Revenue</w:t>
            </w:r>
          </w:p>
        </w:tc>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7"/>
              </w:rPr>
              <w:t>$1,000,000; Customer_ID 1051</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7"/>
              </w:rPr>
              <w:t>$1,381.36 mean with it; $983.35 without it; +$398.01 or +40.5%</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7"/>
              </w:rPr>
              <w:t>$984.97 mean after all cleaning rules</w:t>
            </w:r>
          </w:p>
        </w:tc>
      </w:tr>
      <w:tr>
        <w:trPr>
          <w:cantSplit/>
        </w:trPr>
        <w:tc>
          <w:tcPr>
            <w:tcW w:type="dxa" w:w="1944"/>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7"/>
              </w:rPr>
              <w:t>Total_Users</w:t>
            </w:r>
          </w:p>
        </w:tc>
        <w:tc>
          <w:tcPr>
            <w:tcW w:type="dxa" w:w="2664"/>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7"/>
              </w:rPr>
              <w:t>50,000; Customer_ID 1061</w:t>
            </w:r>
          </w:p>
        </w:tc>
        <w:tc>
          <w:tcPr>
            <w:tcW w:type="dxa" w:w="3816"/>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7"/>
              </w:rPr>
              <w:t>39.28 mean with it; 19.37 without it; +19.91 or +102.8%</w:t>
            </w:r>
          </w:p>
        </w:tc>
        <w:tc>
          <w:tcPr>
            <w:tcW w:type="dxa" w:w="2376"/>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7"/>
              </w:rPr>
              <w:t>19.40 mean after all cleaning rules</w:t>
            </w:r>
          </w:p>
        </w:tc>
      </w:tr>
    </w:tbl>
    <w:p>
      <w:pPr>
        <w:spacing w:after="0"/>
      </w:pPr>
    </w:p>
    <w:p>
      <w:pPr>
        <w:pStyle w:val="Heading2"/>
        <w:keepNext/>
        <w:spacing w:before="100" w:after="60"/>
      </w:pPr>
      <w:r>
        <w:rPr>
          <w:rFonts w:ascii="Arial" w:hAnsi="Arial"/>
          <w:b/>
          <w:color w:val="000000"/>
          <w:sz w:val="23"/>
        </w:rPr>
        <w:t>Missing Values and Engagement</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592"/>
            <w:shd w:fill="17365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rial" w:hAnsi="Arial"/>
                <w:b/>
                <w:color w:val="FFFFFF"/>
                <w:sz w:val="18"/>
              </w:rPr>
              <w:t>Check</w:t>
            </w:r>
          </w:p>
        </w:tc>
        <w:tc>
          <w:tcPr>
            <w:tcW w:type="dxa" w:w="3240"/>
            <w:shd w:fill="17365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rial" w:hAnsi="Arial"/>
                <w:b/>
                <w:color w:val="FFFFFF"/>
                <w:sz w:val="18"/>
              </w:rPr>
              <w:t>Raw</w:t>
            </w:r>
          </w:p>
        </w:tc>
        <w:tc>
          <w:tcPr>
            <w:tcW w:type="dxa" w:w="4968"/>
            <w:shd w:fill="17365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rial" w:hAnsi="Arial"/>
                <w:b/>
                <w:color w:val="FFFFFF"/>
                <w:sz w:val="18"/>
              </w:rPr>
              <w:t>Clean or Interpretation</w:t>
            </w:r>
          </w:p>
        </w:tc>
      </w:tr>
      <w:tr>
        <w:trPr>
          <w:cantSplit/>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7"/>
              </w:rPr>
              <w:t>Support_Tickets</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7"/>
              </w:rPr>
              <w:t>125 blanks; non-missing mean 1.98</w:t>
            </w:r>
          </w:p>
        </w:tc>
        <w:tc>
          <w:tcPr>
            <w:tcW w:type="dxa" w:w="496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7"/>
              </w:rPr>
              <w:t>0 imputation plus missing flag; mean 1.88. Median 2 is the documented alternative and would produce mean 1.98</w:t>
            </w:r>
          </w:p>
        </w:tc>
      </w:tr>
      <w:tr>
        <w:trPr>
          <w:cantSplit/>
        </w:trPr>
        <w:tc>
          <w:tcPr>
            <w:tcW w:type="dxa" w:w="2592"/>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7"/>
              </w:rPr>
              <w:t>Last_Login_Days_Ago</w:t>
            </w:r>
          </w:p>
        </w:tc>
        <w:tc>
          <w:tcPr>
            <w:tcW w:type="dxa" w:w="3240"/>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7"/>
              </w:rPr>
              <w:t>50 rows at -5; mean 14.41</w:t>
            </w:r>
          </w:p>
        </w:tc>
        <w:tc>
          <w:tcPr>
            <w:tcW w:type="dxa" w:w="4968"/>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7"/>
              </w:rPr>
              <w:t>Negative values set to missing; mean 14.82, but the field remains unusable without a common snapshot date</w:t>
            </w:r>
          </w:p>
        </w:tc>
      </w:tr>
      <w:tr>
        <w:trPr>
          <w:cantSplit/>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7"/>
              </w:rPr>
              <w:t>Login after cancellation check</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7"/>
              </w:rPr>
              <w:t>470 of 493 cancelled rows imply a later login</w:t>
            </w:r>
          </w:p>
        </w:tc>
        <w:tc>
          <w:tcPr>
            <w:tcW w:type="dxa" w:w="496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7"/>
              </w:rPr>
              <w:t>462 of 491 imply a later login; six Clean values are missing after the negative-value rule</w:t>
            </w:r>
          </w:p>
        </w:tc>
      </w:tr>
    </w:tbl>
    <w:p>
      <w:pPr>
        <w:spacing w:after="0"/>
      </w:pPr>
    </w:p>
    <w:p>
      <w:pPr>
        <w:pStyle w:val="Heading2"/>
        <w:keepNext/>
        <w:spacing w:before="100" w:after="60"/>
      </w:pPr>
      <w:r>
        <w:rPr>
          <w:rFonts w:ascii="Arial" w:hAnsi="Arial"/>
          <w:b/>
          <w:color w:val="000000"/>
          <w:sz w:val="23"/>
        </w:rPr>
        <w:t>Additional Reliability Evidence</w:t>
      </w:r>
    </w:p>
    <w:p>
      <w:pPr>
        <w:pStyle w:val="ListBullet"/>
        <w:keepNext/>
        <w:spacing w:after="44" w:line="240" w:lineRule="auto"/>
        <w:ind w:left="317" w:hanging="202"/>
      </w:pPr>
      <w:r>
        <w:rPr>
          <w:rFonts w:ascii="Arial" w:hAnsi="Arial"/>
          <w:b/>
          <w:color w:val="000000"/>
          <w:sz w:val="19"/>
        </w:rPr>
        <w:t xml:space="preserve">Cancellation history. </w:t>
      </w:r>
      <w:r>
        <w:rPr>
          <w:rFonts w:ascii="Arial" w:hAnsi="Arial"/>
          <w:color w:val="000000"/>
          <w:sz w:val="19"/>
        </w:rPr>
        <w:t>Join_Date spans 2020 through 2022, but Date_Cancelled contains only 2022 and 2023 exits. Confirm whether earlier churn was removed before making a longer-term trend claim.</w:t>
      </w:r>
    </w:p>
    <w:p>
      <w:pPr>
        <w:pStyle w:val="ListBullet"/>
        <w:keepNext/>
        <w:spacing w:after="44" w:line="240" w:lineRule="auto"/>
        <w:ind w:left="317" w:hanging="202"/>
      </w:pPr>
      <w:r>
        <w:rPr>
          <w:rFonts w:ascii="Arial" w:hAnsi="Arial"/>
          <w:b/>
          <w:color w:val="000000"/>
          <w:sz w:val="19"/>
        </w:rPr>
        <w:t xml:space="preserve">Leakage evidence. </w:t>
      </w:r>
      <w:r>
        <w:rPr>
          <w:rFonts w:ascii="Arial" w:hAnsi="Arial"/>
          <w:color w:val="000000"/>
          <w:sz w:val="19"/>
        </w:rPr>
        <w:t>Date_Cancelled is populated for all 486 Raw rows labeled Yes and none of the 1,974 rows labeled No. Among the 50 numeric 1 rows, seven have a date and 43 do not.</w:t>
      </w:r>
    </w:p>
    <w:p>
      <w:pPr>
        <w:pStyle w:val="ListBullet"/>
        <w:keepNext/>
        <w:spacing w:after="44" w:line="240" w:lineRule="auto"/>
        <w:ind w:left="317" w:hanging="202"/>
      </w:pPr>
      <w:r>
        <w:rPr>
          <w:rFonts w:ascii="Arial" w:hAnsi="Arial"/>
          <w:b/>
          <w:color w:val="000000"/>
          <w:sz w:val="19"/>
        </w:rPr>
        <w:t xml:space="preserve">Identifier evidence. </w:t>
      </w:r>
      <w:r>
        <w:rPr>
          <w:rFonts w:ascii="Arial" w:hAnsi="Arial"/>
          <w:color w:val="000000"/>
          <w:sz w:val="19"/>
        </w:rPr>
        <w:t>Company_Name is derived from Customer_ID for every row and should not be used as a predictive feature.</w:t>
      </w:r>
    </w:p>
    <w:p>
      <w:pPr>
        <w:pStyle w:val="ListBullet"/>
        <w:spacing w:after="44" w:line="240" w:lineRule="auto"/>
        <w:ind w:left="317" w:hanging="202"/>
      </w:pPr>
      <w:r>
        <w:rPr>
          <w:rFonts w:ascii="Arial" w:hAnsi="Arial"/>
          <w:b/>
          <w:color w:val="000000"/>
          <w:sz w:val="19"/>
        </w:rPr>
        <w:t xml:space="preserve">Pricing sanity check. </w:t>
      </w:r>
      <w:r>
        <w:rPr>
          <w:rFonts w:ascii="Arial" w:hAnsi="Arial"/>
          <w:color w:val="000000"/>
          <w:sz w:val="19"/>
        </w:rPr>
        <w:t>Typical accounts pay about $50.80 per user per month. The revenue whale implies about $58,824 per user, while the 50,000-user row implies about $0.02 per user, supporting source review rather than guessed corrections.</w:t>
      </w:r>
    </w:p>
    <w:p>
      <w:pPr>
        <w:pStyle w:val="Heading2"/>
        <w:keepNext/>
        <w:spacing w:before="100" w:after="60"/>
      </w:pPr>
      <w:r>
        <w:rPr>
          <w:rFonts w:ascii="Arial" w:hAnsi="Arial"/>
          <w:b/>
          <w:color w:val="000000"/>
          <w:sz w:val="23"/>
        </w:rPr>
        <w:t>Reference Files</w:t>
      </w:r>
    </w:p>
    <w:p>
      <w:pPr>
        <w:spacing w:after="0" w:line="250" w:lineRule="auto"/>
      </w:pPr>
      <w:r>
        <w:rPr>
          <w:rFonts w:ascii="Arial" w:hAnsi="Arial"/>
          <w:i w:val="0"/>
          <w:color w:val="000000"/>
          <w:sz w:val="21"/>
        </w:rPr>
        <w:t>TW1_Audit_Findings.xlsx contains the offending rows for each audit check. TW1_Raw_vs_Clean_Metrics.xlsx contains the Raw and Clean comparisons, including the Metrics, Label Reconciliation, segment, outlier, and leakage tables.</w:t>
      </w:r>
    </w:p>
    <w:sectPr w:rsidR="00FC693F" w:rsidRPr="0006063C" w:rsidSect="00034616">
      <w:pgSz w:w="12240" w:h="15840"/>
      <w:pgMar w:top="835"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TW1 Part 1 Handoff</dc:title>
  <dc:subject>Data Quality Grade, Data Cleaning Strategy, and audit evidence</dc:subject>
  <dc:creator>Team session 2-4 5</dc:creator>
  <cp:keywords>TW1, data health audit, churn, cleaning strategy</cp:keywords>
  <dc:description>generated by python-docx</dc:description>
  <cp:lastModifiedBy/>
  <cp:revision>1</cp:revision>
  <dcterms:created xsi:type="dcterms:W3CDTF">2013-12-23T23:15:00Z</dcterms:created>
  <dcterms:modified xsi:type="dcterms:W3CDTF">2013-12-23T23:15:00Z</dcterms:modified>
  <cp:category/>
</cp:coreProperties>
</file>