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 w:after="280"/>
      </w:pPr>
      <w:r>
        <w:rPr>
          <w:rFonts w:ascii="Arial Unicode MS" w:hAnsi="Arial Unicode MS" w:eastAsia="Arial Unicode MS"/>
          <w:b/>
          <w:color w:val="FFFFFF"/>
          <w:sz w:val="68"/>
          <w:shd w:fill="16B8D4"/>
        </w:rPr>
        <w:t>A</w:t>
      </w:r>
    </w:p>
    <w:p>
      <w:pPr>
        <w:spacing w:before="480"/>
      </w:pPr>
      <w:r>
        <w:rPr>
          <w:rFonts w:ascii="Arial Unicode MS" w:hAnsi="Arial Unicode MS" w:eastAsia="Arial Unicode MS"/>
          <w:b/>
          <w:color w:val="16B8D4"/>
          <w:sz w:val="24"/>
        </w:rPr>
        <w:t>AGENTNOVAS</w:t>
      </w:r>
    </w:p>
    <w:p>
      <w:pPr>
        <w:pStyle w:val="Title"/>
      </w:pPr>
      <w:r>
        <w:t>改进事项与下一阶段路线图</w:t>
      </w:r>
    </w:p>
    <w:p>
      <w:pPr>
        <w:spacing w:after="440"/>
      </w:pPr>
      <w:r>
        <w:rPr>
          <w:rFonts w:ascii="Arial Unicode MS" w:hAnsi="Arial Unicode MS" w:eastAsia="Arial Unicode MS"/>
          <w:b w:val="0"/>
          <w:color w:val="52677A"/>
          <w:sz w:val="26"/>
        </w:rPr>
        <w:t>逻辑不足 · 风险优先级 · 0–90 天执行计划 · 上线验收清单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921"/>
      </w:tblGrid>
      <w:tr>
        <w:tc>
          <w:tcPr>
            <w:tcW w:type="dxa" w:w="10036"/>
            <w:shd w:fill="0B1F33"/>
            <w:tcMar>
              <w:top w:w="180" w:type="dxa"/>
              <w:start w:w="220" w:type="dxa"/>
              <w:bottom w:w="180" w:type="dxa"/>
              <w:end w:w="2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22"/>
              </w:rPr>
              <w:t>建议：先完成资金与权限安全闭环，再扩大市场与自动交易能力</w:t>
            </w:r>
          </w:p>
          <w:p>
            <w:pPr>
              <w:spacing w:before="100"/>
            </w:pPr>
            <w:r>
              <w:rPr>
                <w:rFonts w:ascii="Arial Unicode MS" w:hAnsi="Arial Unicode MS" w:eastAsia="Arial Unicode MS"/>
                <w:b w:val="0"/>
                <w:color w:val="C9D8E5"/>
                <w:sz w:val="18"/>
              </w:rPr>
              <w:t>基于当前本地目录 /Users/zhonghetong/Documents/Codex/2026-08-11/wox 的代码、数据库结构、接口与页面实测结果。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24"/>
        <w:gridCol w:w="7597"/>
      </w:tblGrid>
      <w:tr>
        <w:trPr>
          <w:cantSplit/>
        </w:trPr>
        <w:tc>
          <w:tcPr>
            <w:tcW w:type="dxa" w:w="5018"/>
            <w:shd w:fill="EAF4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65C0"/>
                <w:sz w:val="18"/>
              </w:rPr>
              <w:t>审阅日期</w:t>
            </w:r>
          </w:p>
        </w:tc>
        <w:tc>
          <w:tcPr>
            <w:tcW w:type="dxa" w:w="501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152233"/>
                <w:sz w:val="18"/>
              </w:rPr>
              <w:t>2026 年 8 月 19 日</w:t>
            </w:r>
          </w:p>
        </w:tc>
      </w:tr>
      <w:tr>
        <w:trPr>
          <w:cantSplit/>
        </w:trPr>
        <w:tc>
          <w:tcPr>
            <w:tcW w:type="dxa" w:w="5018"/>
            <w:shd w:fill="EAF4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65C0"/>
                <w:sz w:val="18"/>
              </w:rPr>
              <w:t>项目状态</w:t>
            </w:r>
          </w:p>
        </w:tc>
        <w:tc>
          <w:tcPr>
            <w:tcW w:type="dxa" w:w="501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152233"/>
                <w:sz w:val="18"/>
              </w:rPr>
              <w:t>本地 WOX 已构建通过；未推送 Git，未上传服务器</w:t>
            </w:r>
          </w:p>
        </w:tc>
      </w:tr>
      <w:tr>
        <w:trPr>
          <w:cantSplit/>
        </w:trPr>
        <w:tc>
          <w:tcPr>
            <w:tcW w:type="dxa" w:w="5018"/>
            <w:shd w:fill="EAF4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65C0"/>
                <w:sz w:val="18"/>
              </w:rPr>
              <w:t>当前域名规划</w:t>
            </w:r>
          </w:p>
        </w:tc>
        <w:tc>
          <w:tcPr>
            <w:tcW w:type="dxa" w:w="501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152233"/>
                <w:sz w:val="18"/>
              </w:rPr>
              <w:t>上传对象暂为 www.tzxsea.com；www.agentnovas.com 尚待 DNS 绑定</w:t>
            </w:r>
          </w:p>
        </w:tc>
      </w:tr>
      <w:tr>
        <w:trPr>
          <w:cantSplit/>
        </w:trPr>
        <w:tc>
          <w:tcPr>
            <w:tcW w:type="dxa" w:w="5018"/>
            <w:shd w:fill="EAF4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65C0"/>
                <w:sz w:val="18"/>
              </w:rPr>
              <w:t>保密级别</w:t>
            </w:r>
          </w:p>
        </w:tc>
        <w:tc>
          <w:tcPr>
            <w:tcW w:type="dxa" w:w="501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152233"/>
                <w:sz w:val="18"/>
              </w:rPr>
              <w:t>内部使用 / 运营、技术与管理层参考</w:t>
            </w:r>
          </w:p>
        </w:tc>
      </w:tr>
    </w:tbl>
    <w:p>
      <w:pPr>
        <w:spacing w:before="560"/>
        <w:jc w:val="right"/>
      </w:pPr>
      <w:r>
        <w:rPr>
          <w:rFonts w:ascii="Arial Unicode MS" w:hAnsi="Arial Unicode MS" w:eastAsia="Arial Unicode MS"/>
          <w:b/>
          <w:color w:val="52677A"/>
          <w:sz w:val="18"/>
        </w:rPr>
        <w:t>AgentNovas · 智能交易中枢</w:t>
      </w:r>
    </w:p>
    <w:p>
      <w:r>
        <w:br w:type="page"/>
      </w:r>
    </w:p>
    <w:p>
      <w:pPr>
        <w:pStyle w:val="Heading1"/>
      </w:pPr>
      <w:r>
        <w:t>文档导航</w:t>
      </w:r>
    </w:p>
    <w:p>
      <w:r>
        <w:t>本目录为静态导航，便于在 WPS 中快速阅读。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"/>
        <w:gridCol w:w="9014"/>
      </w:tblGrid>
      <w:tr>
        <w:tc>
          <w:tcPr>
            <w:tcW w:type="dxa" w:w="5018"/>
            <w:shd w:fill="0B1F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01</w:t>
            </w:r>
          </w:p>
        </w:tc>
        <w:tc>
          <w:tcPr>
            <w:tcW w:type="dxa" w:w="5018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9"/>
              </w:rPr>
              <w:t>管理层结论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"/>
        <w:gridCol w:w="9014"/>
      </w:tblGrid>
      <w:tr>
        <w:tc>
          <w:tcPr>
            <w:tcW w:type="dxa" w:w="5018"/>
            <w:shd w:fill="0B1F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02</w:t>
            </w:r>
          </w:p>
        </w:tc>
        <w:tc>
          <w:tcPr>
            <w:tcW w:type="dxa" w:w="5018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9"/>
              </w:rPr>
              <w:t>P0 上线阻断项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"/>
        <w:gridCol w:w="9014"/>
      </w:tblGrid>
      <w:tr>
        <w:tc>
          <w:tcPr>
            <w:tcW w:type="dxa" w:w="5018"/>
            <w:shd w:fill="0B1F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03</w:t>
            </w:r>
          </w:p>
        </w:tc>
        <w:tc>
          <w:tcPr>
            <w:tcW w:type="dxa" w:w="5018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9"/>
              </w:rPr>
              <w:t>P1 重要增强项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"/>
        <w:gridCol w:w="9014"/>
      </w:tblGrid>
      <w:tr>
        <w:tc>
          <w:tcPr>
            <w:tcW w:type="dxa" w:w="5018"/>
            <w:shd w:fill="0B1F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04</w:t>
            </w:r>
          </w:p>
        </w:tc>
        <w:tc>
          <w:tcPr>
            <w:tcW w:type="dxa" w:w="5018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9"/>
              </w:rPr>
              <w:t>P2 工程与体验优化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"/>
        <w:gridCol w:w="9014"/>
      </w:tblGrid>
      <w:tr>
        <w:tc>
          <w:tcPr>
            <w:tcW w:type="dxa" w:w="5018"/>
            <w:shd w:fill="0B1F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05</w:t>
            </w:r>
          </w:p>
        </w:tc>
        <w:tc>
          <w:tcPr>
            <w:tcW w:type="dxa" w:w="5018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9"/>
              </w:rPr>
              <w:t>0–90 天路线图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"/>
        <w:gridCol w:w="9014"/>
      </w:tblGrid>
      <w:tr>
        <w:tc>
          <w:tcPr>
            <w:tcW w:type="dxa" w:w="5018"/>
            <w:shd w:fill="0B1F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06</w:t>
            </w:r>
          </w:p>
        </w:tc>
        <w:tc>
          <w:tcPr>
            <w:tcW w:type="dxa" w:w="5018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9"/>
              </w:rPr>
              <w:t>分阶段验收标准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"/>
        <w:gridCol w:w="9014"/>
      </w:tblGrid>
      <w:tr>
        <w:tc>
          <w:tcPr>
            <w:tcW w:type="dxa" w:w="5018"/>
            <w:shd w:fill="0B1F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07</w:t>
            </w:r>
          </w:p>
        </w:tc>
        <w:tc>
          <w:tcPr>
            <w:tcW w:type="dxa" w:w="5018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9"/>
              </w:rPr>
              <w:t>上线前检查清单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"/>
        <w:gridCol w:w="9014"/>
      </w:tblGrid>
      <w:tr>
        <w:tc>
          <w:tcPr>
            <w:tcW w:type="dxa" w:w="5018"/>
            <w:shd w:fill="0B1F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08</w:t>
            </w:r>
          </w:p>
        </w:tc>
        <w:tc>
          <w:tcPr>
            <w:tcW w:type="dxa" w:w="5018"/>
            <w:shd w:fill="F5F8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9"/>
              </w:rPr>
              <w:t>需要业务方最终确认的规则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01  管理层结论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8"/>
        <w:gridCol w:w="9723"/>
      </w:tblGrid>
      <w:tr>
        <w:tc>
          <w:tcPr>
            <w:tcW w:type="dxa" w:w="5018"/>
            <w:shd w:fill="C48A2A"/>
            <w:tcMar>
              <w:top w:w="80" w:type="dxa"/>
              <w:start w:w="40" w:type="dxa"/>
              <w:bottom w:w="80" w:type="dxa"/>
              <w:end w:w="40" w:type="dxa"/>
            </w:tcMar>
          </w:tcPr>
          <w:p/>
        </w:tc>
        <w:tc>
          <w:tcPr>
            <w:tcW w:type="dxa" w:w="5018"/>
            <w:shd w:fill="F5F8FB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0B1F33"/>
                <w:sz w:val="20"/>
              </w:rPr>
              <w:t>总体判断</w:t>
            </w:r>
          </w:p>
          <w:p>
            <w:pPr>
              <w:spacing w:before="60"/>
            </w:pPr>
            <w:r>
              <w:rPr>
                <w:rFonts w:ascii="Arial Unicode MS" w:hAnsi="Arial Unicode MS" w:eastAsia="Arial Unicode MS"/>
                <w:b w:val="0"/>
                <w:color w:val="52677A"/>
                <w:sz w:val="18"/>
              </w:rPr>
              <w:t>网站已经具备完整产品外形和较清晰的组织、策略、运营、运维骨架，但“能演示”与“可承载真实资金/自动交易”之间仍有明显距离。下一阶段应围绕支付、交易、权限、通知、数据授权、监控与发布六条生产链路逐项闭环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3969"/>
        <w:gridCol w:w="1701"/>
        <w:gridCol w:w="3118"/>
      </w:tblGrid>
      <w:tr>
        <w:trPr>
          <w:tblHeader w:val="true"/>
        </w:trPr>
        <w:tc>
          <w:tcPr>
            <w:tcW w:type="dxa" w:w="2509"/>
            <w:shd w:fill="0B1F3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级别</w:t>
            </w:r>
          </w:p>
        </w:tc>
        <w:tc>
          <w:tcPr>
            <w:tcW w:type="dxa" w:w="2509"/>
            <w:shd w:fill="0B1F3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定义</w:t>
            </w:r>
          </w:p>
        </w:tc>
        <w:tc>
          <w:tcPr>
            <w:tcW w:type="dxa" w:w="2509"/>
            <w:shd w:fill="0B1F3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建议处理时间</w:t>
            </w:r>
          </w:p>
        </w:tc>
        <w:tc>
          <w:tcPr>
            <w:tcW w:type="dxa" w:w="2509"/>
            <w:shd w:fill="0B1F3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主要主题</w:t>
            </w:r>
          </w:p>
        </w:tc>
      </w:tr>
      <w:tr>
        <w:trPr>
          <w:cantSplit/>
        </w:trPr>
        <w:tc>
          <w:tcPr>
            <w:tcW w:type="dxa" w:w="113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6"/>
              </w:rPr>
              <w:t>P0</w:t>
            </w:r>
          </w:p>
        </w:tc>
        <w:tc>
          <w:tcPr>
            <w:tcW w:type="dxa" w:w="396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不完成就不应开放真实资金或自动交易</w:t>
            </w:r>
          </w:p>
        </w:tc>
        <w:tc>
          <w:tcPr>
            <w:tcW w:type="dxa" w:w="170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0–30 天</w:t>
            </w:r>
          </w:p>
        </w:tc>
        <w:tc>
          <w:tcPr>
            <w:tcW w:type="dxa" w:w="311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支付对账、实盘路由、独立技术权限、服务端开关、通知、备份发布</w:t>
            </w:r>
          </w:p>
        </w:tc>
      </w:tr>
      <w:tr>
        <w:trPr>
          <w:cantSplit/>
        </w:trPr>
        <w:tc>
          <w:tcPr>
            <w:tcW w:type="dxa" w:w="1134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6"/>
              </w:rPr>
              <w:t>P1</w:t>
            </w:r>
          </w:p>
        </w:tc>
        <w:tc>
          <w:tcPr>
            <w:tcW w:type="dxa" w:w="3969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影响稳定运营、扩张与合规</w:t>
            </w:r>
          </w:p>
        </w:tc>
        <w:tc>
          <w:tcPr>
            <w:tcW w:type="dxa" w:w="1701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31–60 天</w:t>
            </w:r>
          </w:p>
        </w:tc>
        <w:tc>
          <w:tcPr>
            <w:tcW w:type="dxa" w:w="3118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亚洲股票数据、多语言、可观测性、API SLA、权限导航、安全强化</w:t>
            </w:r>
          </w:p>
        </w:tc>
      </w:tr>
      <w:tr>
        <w:trPr>
          <w:cantSplit/>
        </w:trPr>
        <w:tc>
          <w:tcPr>
            <w:tcW w:type="dxa" w:w="113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6"/>
              </w:rPr>
              <w:t>P2</w:t>
            </w:r>
          </w:p>
        </w:tc>
        <w:tc>
          <w:tcPr>
            <w:tcW w:type="dxa" w:w="396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影响长期研发效率和体验</w:t>
            </w:r>
          </w:p>
        </w:tc>
        <w:tc>
          <w:tcPr>
            <w:tcW w:type="dxa" w:w="170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61–90 天</w:t>
            </w:r>
          </w:p>
        </w:tc>
        <w:tc>
          <w:tcPr>
            <w:tcW w:type="dxa" w:w="311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代码拆分、测试体系、设计系统、无障碍、lint 技术债</w:t>
            </w:r>
          </w:p>
        </w:tc>
      </w:tr>
    </w:tbl>
    <w:p>
      <w:pPr>
        <w:spacing w:after="0"/>
      </w:pPr>
    </w:p>
    <w:p>
      <w:pPr>
        <w:pStyle w:val="Heading1"/>
      </w:pPr>
      <w:r>
        <w:t>02  P0 上线阻断项</w:t>
      </w:r>
    </w:p>
    <w:p>
      <w:pPr>
        <w:spacing w:after="160"/>
      </w:pPr>
      <w:r>
        <w:t>下列事项建议在对外宣传“真实自动交易”或接收真实资金之前全部完成。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2948"/>
        <w:gridCol w:w="3515"/>
        <w:gridCol w:w="2778"/>
      </w:tblGrid>
      <w:tr>
        <w:trPr>
          <w:tblHeader w:val="true"/>
        </w:trPr>
        <w:tc>
          <w:tcPr>
            <w:tcW w:type="dxa" w:w="2509"/>
            <w:shd w:fill="0B1F3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2509"/>
            <w:shd w:fill="0B1F3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5"/>
              </w:rPr>
              <w:t>问题 / 当前证据</w:t>
            </w:r>
          </w:p>
        </w:tc>
        <w:tc>
          <w:tcPr>
            <w:tcW w:type="dxa" w:w="2509"/>
            <w:shd w:fill="0B1F3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5"/>
              </w:rPr>
              <w:t>改进动作</w:t>
            </w:r>
          </w:p>
        </w:tc>
        <w:tc>
          <w:tcPr>
            <w:tcW w:type="dxa" w:w="2509"/>
            <w:shd w:fill="0B1F3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5"/>
              </w:rPr>
              <w:t>完成标准</w:t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5"/>
              </w:rPr>
              <w:t>P0-01</w:t>
            </w:r>
          </w:p>
        </w:tc>
        <w:tc>
          <w:tcPr>
            <w:tcW w:type="dxa" w:w="294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5"/>
              </w:rPr>
              <w:t>会员支付仍存在演示式地址、倒计时和人工状态</w:t>
            </w:r>
          </w:p>
        </w:tc>
        <w:tc>
          <w:tcPr>
            <w:tcW w:type="dxa" w:w="351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5"/>
              </w:rPr>
              <w:t>接入唯一订单地址、链上确认、回调验签、到账入账、退款和对账任务</w:t>
            </w:r>
          </w:p>
        </w:tc>
        <w:tc>
          <w:tcPr>
            <w:tcW w:type="dxa" w:w="277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5"/>
              </w:rPr>
              <w:t>同一订单不重复入账；异常可追溯；每日自动对账</w:t>
            </w:r>
          </w:p>
        </w:tc>
      </w:tr>
      <w:tr>
        <w:trPr>
          <w:cantSplit/>
        </w:trPr>
        <w:tc>
          <w:tcPr>
            <w:tcW w:type="dxa" w:w="680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5"/>
              </w:rPr>
              <w:t>P0-02</w:t>
            </w:r>
          </w:p>
        </w:tc>
        <w:tc>
          <w:tcPr>
            <w:tcW w:type="dxa" w:w="2948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5"/>
              </w:rPr>
              <w:t>真实交易路由默认未开放，平台 AI 周期主要为验证/演示</w:t>
            </w:r>
          </w:p>
        </w:tc>
        <w:tc>
          <w:tcPr>
            <w:tcW w:type="dxa" w:w="3515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5"/>
              </w:rPr>
              <w:t>建立交易执行服务、幂等订单键、状态机、撤单重试、仓位核验和交易所沙箱</w:t>
            </w:r>
          </w:p>
        </w:tc>
        <w:tc>
          <w:tcPr>
            <w:tcW w:type="dxa" w:w="2778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5"/>
              </w:rPr>
              <w:t>沙箱连续 7 天无重复单；断线恢复和紧急停止通过演练</w:t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5"/>
              </w:rPr>
              <w:t>P0-03</w:t>
            </w:r>
          </w:p>
        </w:tc>
        <w:tc>
          <w:tcPr>
            <w:tcW w:type="dxa" w:w="294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5"/>
              </w:rPr>
              <w:t>运维权限暂挂在 hq_admin</w:t>
            </w:r>
          </w:p>
        </w:tc>
        <w:tc>
          <w:tcPr>
            <w:tcW w:type="dxa" w:w="351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5"/>
              </w:rPr>
              <w:t>拆分 hq_technical_admin、release_manager、security_admin 和只读 auditor</w:t>
            </w:r>
          </w:p>
        </w:tc>
        <w:tc>
          <w:tcPr>
            <w:tcW w:type="dxa" w:w="277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5"/>
              </w:rPr>
              <w:t>技术人员无权修改业务资金；业务人员无权读取密钥</w:t>
            </w:r>
          </w:p>
        </w:tc>
      </w:tr>
      <w:tr>
        <w:trPr>
          <w:cantSplit/>
        </w:trPr>
        <w:tc>
          <w:tcPr>
            <w:tcW w:type="dxa" w:w="680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5"/>
              </w:rPr>
              <w:t>P0-04</w:t>
            </w:r>
          </w:p>
        </w:tc>
        <w:tc>
          <w:tcPr>
            <w:tcW w:type="dxa" w:w="2948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5"/>
              </w:rPr>
              <w:t>部分功能开关只隐藏前端入口</w:t>
            </w:r>
          </w:p>
        </w:tc>
        <w:tc>
          <w:tcPr>
            <w:tcW w:type="dxa" w:w="3515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5"/>
              </w:rPr>
              <w:t>为每个高风险/收费/API 模块增加统一服务端 feature guard</w:t>
            </w:r>
          </w:p>
        </w:tc>
        <w:tc>
          <w:tcPr>
            <w:tcW w:type="dxa" w:w="2778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5"/>
              </w:rPr>
              <w:t>关闭后直接访问 API 也返回明确的 403/maintenance 状态</w:t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5"/>
              </w:rPr>
              <w:t>P0-05</w:t>
            </w:r>
          </w:p>
        </w:tc>
        <w:tc>
          <w:tcPr>
            <w:tcW w:type="dxa" w:w="294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5"/>
              </w:rPr>
              <w:t>Telegram/WhatsApp/邮件目前有队列与偏好，但外部发送闭环未确认</w:t>
            </w:r>
          </w:p>
        </w:tc>
        <w:tc>
          <w:tcPr>
            <w:tcW w:type="dxa" w:w="351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5"/>
              </w:rPr>
              <w:t>接入供应商、重试、死信、状态回执、模板版本和告警</w:t>
            </w:r>
          </w:p>
        </w:tc>
        <w:tc>
          <w:tcPr>
            <w:tcW w:type="dxa" w:w="277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5"/>
              </w:rPr>
              <w:t>强制通知在测试环境 99.9%送达并可查回执</w:t>
            </w:r>
          </w:p>
        </w:tc>
      </w:tr>
      <w:tr>
        <w:trPr>
          <w:cantSplit/>
        </w:trPr>
        <w:tc>
          <w:tcPr>
            <w:tcW w:type="dxa" w:w="680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5"/>
              </w:rPr>
              <w:t>P0-06</w:t>
            </w:r>
          </w:p>
        </w:tc>
        <w:tc>
          <w:tcPr>
            <w:tcW w:type="dxa" w:w="2948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5"/>
              </w:rPr>
              <w:t>自动任务密钥本地缺失，发布/回滚/备份仍偏人工</w:t>
            </w:r>
          </w:p>
        </w:tc>
        <w:tc>
          <w:tcPr>
            <w:tcW w:type="dxa" w:w="3515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5"/>
              </w:rPr>
              <w:t>建立 CI/CD、环境密钥托管、迁移前备份、版本回滚和发布审计</w:t>
            </w:r>
          </w:p>
        </w:tc>
        <w:tc>
          <w:tcPr>
            <w:tcW w:type="dxa" w:w="2778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5"/>
              </w:rPr>
              <w:t>一次按钮/流水线完成可回滚发布；恢复演练有记录</w:t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5"/>
              </w:rPr>
              <w:t>P0-07</w:t>
            </w:r>
          </w:p>
        </w:tc>
        <w:tc>
          <w:tcPr>
            <w:tcW w:type="dxa" w:w="294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5"/>
              </w:rPr>
              <w:t>首页和部分看板把演示 KPI 与真实数据混合</w:t>
            </w:r>
          </w:p>
        </w:tc>
        <w:tc>
          <w:tcPr>
            <w:tcW w:type="dxa" w:w="351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5"/>
              </w:rPr>
              <w:t>所有数字标明实时/模拟/暂无数据；生产环境禁用假延迟、假在线数和硬编码价格</w:t>
            </w:r>
          </w:p>
        </w:tc>
        <w:tc>
          <w:tcPr>
            <w:tcW w:type="dxa" w:w="277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5"/>
              </w:rPr>
              <w:t>验收页面不出现无法追溯来源的业务指标</w:t>
            </w:r>
          </w:p>
        </w:tc>
      </w:tr>
      <w:tr>
        <w:trPr>
          <w:cantSplit/>
        </w:trPr>
        <w:tc>
          <w:tcPr>
            <w:tcW w:type="dxa" w:w="680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5"/>
              </w:rPr>
              <w:t>P0-08</w:t>
            </w:r>
          </w:p>
        </w:tc>
        <w:tc>
          <w:tcPr>
            <w:tcW w:type="dxa" w:w="2948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5"/>
              </w:rPr>
              <w:t>平台涉及金融交易与客户敏感数据</w:t>
            </w:r>
          </w:p>
        </w:tc>
        <w:tc>
          <w:tcPr>
            <w:tcW w:type="dxa" w:w="3515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5"/>
              </w:rPr>
              <w:t>完成适用地区的法律、牌照、KYC/AML、隐私、数据跨境和风险披露评审</w:t>
            </w:r>
          </w:p>
        </w:tc>
        <w:tc>
          <w:tcPr>
            <w:tcW w:type="dxa" w:w="2778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5"/>
              </w:rPr>
              <w:t>形成律师/合规签署的上线范围与禁用地区清单</w:t>
            </w:r>
          </w:p>
        </w:tc>
      </w:tr>
    </w:tbl>
    <w:p>
      <w:pPr>
        <w:spacing w:after="0"/>
      </w:pPr>
    </w:p>
    <w:p>
      <w:pPr>
        <w:pStyle w:val="Heading2"/>
      </w:pPr>
      <w:r>
        <w:t>P0 推荐实施顺序</w:t>
      </w:r>
    </w:p>
    <w:p>
      <w:pPr>
        <w:pStyle w:val="ListNumber"/>
        <w:spacing w:after="80"/>
        <w:ind w:left="312" w:hanging="142"/>
      </w:pPr>
      <w:r>
        <w:rPr>
          <w:rFonts w:ascii="Arial Unicode MS" w:hAnsi="Arial Unicode MS" w:eastAsia="Arial Unicode MS"/>
          <w:b w:val="0"/>
          <w:color w:val="152233"/>
          <w:sz w:val="19"/>
        </w:rPr>
        <w:t>先冻结真实资金与真实自动下单开关，保留模拟和只读行情。</w:t>
      </w:r>
    </w:p>
    <w:p>
      <w:pPr>
        <w:pStyle w:val="ListNumber"/>
        <w:spacing w:after="80"/>
        <w:ind w:left="312" w:hanging="142"/>
      </w:pPr>
      <w:r>
        <w:rPr>
          <w:rFonts w:ascii="Arial Unicode MS" w:hAnsi="Arial Unicode MS" w:eastAsia="Arial Unicode MS"/>
          <w:b w:val="0"/>
          <w:color w:val="152233"/>
          <w:sz w:val="19"/>
        </w:rPr>
        <w:t>完成专用技术角色和密钥隔离，再接入 CI/CD 与备份回滚。</w:t>
      </w:r>
    </w:p>
    <w:p>
      <w:pPr>
        <w:pStyle w:val="ListNumber"/>
        <w:spacing w:after="80"/>
        <w:ind w:left="312" w:hanging="142"/>
      </w:pPr>
      <w:r>
        <w:rPr>
          <w:rFonts w:ascii="Arial Unicode MS" w:hAnsi="Arial Unicode MS" w:eastAsia="Arial Unicode MS"/>
          <w:b w:val="0"/>
          <w:color w:val="152233"/>
          <w:sz w:val="19"/>
        </w:rPr>
        <w:t>支付与交易分别建设状态机、幂等、审计和对账，不把逻辑写在页面组件中。</w:t>
      </w:r>
    </w:p>
    <w:p>
      <w:pPr>
        <w:pStyle w:val="ListNumber"/>
        <w:spacing w:after="80"/>
        <w:ind w:left="312" w:hanging="142"/>
      </w:pPr>
      <w:r>
        <w:rPr>
          <w:rFonts w:ascii="Arial Unicode MS" w:hAnsi="Arial Unicode MS" w:eastAsia="Arial Unicode MS"/>
          <w:b w:val="0"/>
          <w:color w:val="152233"/>
          <w:sz w:val="19"/>
        </w:rPr>
        <w:t>接通强制通知和系统告警，让资金/交易异常可以被及时发现。</w:t>
      </w:r>
    </w:p>
    <w:p>
      <w:pPr>
        <w:pStyle w:val="ListNumber"/>
        <w:spacing w:after="80"/>
        <w:ind w:left="312" w:hanging="142"/>
      </w:pPr>
      <w:r>
        <w:rPr>
          <w:rFonts w:ascii="Arial Unicode MS" w:hAnsi="Arial Unicode MS" w:eastAsia="Arial Unicode MS"/>
          <w:b w:val="0"/>
          <w:color w:val="152233"/>
          <w:sz w:val="19"/>
        </w:rPr>
        <w:t>最后进行沙箱、故障注入、权限越权、重复回调和断线恢复验收。</w:t>
      </w:r>
    </w:p>
    <w:p>
      <w:pPr>
        <w:pStyle w:val="Heading1"/>
      </w:pPr>
      <w:r>
        <w:t>03  P1 重要增强项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2891"/>
        <w:gridCol w:w="3572"/>
        <w:gridCol w:w="2778"/>
      </w:tblGrid>
      <w:tr>
        <w:trPr>
          <w:tblHeader w:val="true"/>
        </w:trPr>
        <w:tc>
          <w:tcPr>
            <w:tcW w:type="dxa" w:w="2509"/>
            <w:shd w:fill="0B1F3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2509"/>
            <w:shd w:fill="0B1F3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5"/>
              </w:rPr>
              <w:t>现状与不足</w:t>
            </w:r>
          </w:p>
        </w:tc>
        <w:tc>
          <w:tcPr>
            <w:tcW w:type="dxa" w:w="2509"/>
            <w:shd w:fill="0B1F3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5"/>
              </w:rPr>
              <w:t>建议</w:t>
            </w:r>
          </w:p>
        </w:tc>
        <w:tc>
          <w:tcPr>
            <w:tcW w:type="dxa" w:w="2509"/>
            <w:shd w:fill="0B1F3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5"/>
              </w:rPr>
              <w:t>验收指标</w:t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5"/>
              </w:rPr>
              <w:t>P1-01</w:t>
            </w:r>
          </w:p>
        </w:tc>
        <w:tc>
          <w:tcPr>
            <w:tcW w:type="dxa" w:w="289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5"/>
              </w:rPr>
              <w:t>韩国、日本、香港、中国股票实时行情未接入</w:t>
            </w:r>
          </w:p>
        </w:tc>
        <w:tc>
          <w:tcPr>
            <w:tcW w:type="dxa" w:w="357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5"/>
              </w:rPr>
              <w:t>采购合规行情供应商，统一代码映射、交易日历、复权、币种、时区与 K 线聚合</w:t>
            </w:r>
          </w:p>
        </w:tc>
        <w:tc>
          <w:tcPr>
            <w:tcW w:type="dxa" w:w="277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5"/>
              </w:rPr>
              <w:t>目标市场报价/K 线可用率 ≥99.9%，许可范围有文档</w:t>
            </w:r>
          </w:p>
        </w:tc>
      </w:tr>
      <w:tr>
        <w:trPr>
          <w:cantSplit/>
        </w:trPr>
        <w:tc>
          <w:tcPr>
            <w:tcW w:type="dxa" w:w="680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5"/>
              </w:rPr>
              <w:t>P1-02</w:t>
            </w:r>
          </w:p>
        </w:tc>
        <w:tc>
          <w:tcPr>
            <w:tcW w:type="dxa" w:w="2891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5"/>
              </w:rPr>
              <w:t>公开行情源会受地域和限频影响；Coinbase 本地已超时</w:t>
            </w:r>
          </w:p>
        </w:tc>
        <w:tc>
          <w:tcPr>
            <w:tcW w:type="dxa" w:w="3572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5"/>
              </w:rPr>
              <w:t>服务端缓存、自动熔断、供应商优先级、健康分、速率配额和降级提示</w:t>
            </w:r>
          </w:p>
        </w:tc>
        <w:tc>
          <w:tcPr>
            <w:tcW w:type="dxa" w:w="2778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5"/>
              </w:rPr>
              <w:t>单源故障 30 秒内切换；客户端不出现长时间空白</w:t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5"/>
              </w:rPr>
              <w:t>P1-03</w:t>
            </w:r>
          </w:p>
        </w:tc>
        <w:tc>
          <w:tcPr>
            <w:tcW w:type="dxa" w:w="289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5"/>
              </w:rPr>
              <w:t>多语言依赖手工字典与 DOM 替换，动态内容可能漏翻</w:t>
            </w:r>
          </w:p>
        </w:tc>
        <w:tc>
          <w:tcPr>
            <w:tcW w:type="dxa" w:w="357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5"/>
              </w:rPr>
              <w:t>迁移到 message catalog，按页面/组件分包，引入术语库、复数和日期货币本地化</w:t>
            </w:r>
          </w:p>
        </w:tc>
        <w:tc>
          <w:tcPr>
            <w:tcW w:type="dxa" w:w="277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5"/>
              </w:rPr>
              <w:t>7 种语言无混杂；核心金融术语通过人工复核</w:t>
            </w:r>
          </w:p>
        </w:tc>
      </w:tr>
      <w:tr>
        <w:trPr>
          <w:cantSplit/>
        </w:trPr>
        <w:tc>
          <w:tcPr>
            <w:tcW w:type="dxa" w:w="680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5"/>
              </w:rPr>
              <w:t>P1-04</w:t>
            </w:r>
          </w:p>
        </w:tc>
        <w:tc>
          <w:tcPr>
            <w:tcW w:type="dxa" w:w="2891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5"/>
              </w:rPr>
              <w:t>运营菜单与服务端权限并非处处完全一致</w:t>
            </w:r>
          </w:p>
        </w:tc>
        <w:tc>
          <w:tcPr>
            <w:tcW w:type="dxa" w:w="3572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5"/>
              </w:rPr>
              <w:t>由同一权限定义生成前端导航和 API guard；加入角色快照测试</w:t>
            </w:r>
          </w:p>
        </w:tc>
        <w:tc>
          <w:tcPr>
            <w:tcW w:type="dxa" w:w="2778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5"/>
              </w:rPr>
              <w:t>五级账号逐项验收，无“看得到但点不开”</w:t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5"/>
              </w:rPr>
              <w:t>P1-05</w:t>
            </w:r>
          </w:p>
        </w:tc>
        <w:tc>
          <w:tcPr>
            <w:tcW w:type="dxa" w:w="289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5"/>
              </w:rPr>
              <w:t>限流目前主要是总开关，IP 名单为精确字符串</w:t>
            </w:r>
          </w:p>
        </w:tc>
        <w:tc>
          <w:tcPr>
            <w:tcW w:type="dxa" w:w="357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5"/>
              </w:rPr>
              <w:t>接入边缘限流、CIDR、可信代理头、设备指纹、登录风控和逐步阻断</w:t>
            </w:r>
          </w:p>
        </w:tc>
        <w:tc>
          <w:tcPr>
            <w:tcW w:type="dxa" w:w="277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5"/>
              </w:rPr>
              <w:t>暴力登录与 API 滥用测试可自动阻断并留痕</w:t>
            </w:r>
          </w:p>
        </w:tc>
      </w:tr>
      <w:tr>
        <w:trPr>
          <w:cantSplit/>
        </w:trPr>
        <w:tc>
          <w:tcPr>
            <w:tcW w:type="dxa" w:w="680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5"/>
              </w:rPr>
              <w:t>P1-06</w:t>
            </w:r>
          </w:p>
        </w:tc>
        <w:tc>
          <w:tcPr>
            <w:tcW w:type="dxa" w:w="2891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5"/>
              </w:rPr>
              <w:t>运维状态以基础计数和健康接口为主</w:t>
            </w:r>
          </w:p>
        </w:tc>
        <w:tc>
          <w:tcPr>
            <w:tcW w:type="dxa" w:w="3572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5"/>
              </w:rPr>
              <w:t>增加指标、结构化日志、追踪、任务队列、错误聚合、SLO 和告警</w:t>
            </w:r>
          </w:p>
        </w:tc>
        <w:tc>
          <w:tcPr>
            <w:tcW w:type="dxa" w:w="2778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5"/>
              </w:rPr>
              <w:t>核心接口 p95、错误率、队列延迟和供应商状态可视化</w:t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5"/>
              </w:rPr>
              <w:t>P1-07</w:t>
            </w:r>
          </w:p>
        </w:tc>
        <w:tc>
          <w:tcPr>
            <w:tcW w:type="dxa" w:w="289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5"/>
              </w:rPr>
              <w:t>AI 已支持自定义端点，但缺少 token 账单与提示词版本</w:t>
            </w:r>
          </w:p>
        </w:tc>
        <w:tc>
          <w:tcPr>
            <w:tcW w:type="dxa" w:w="357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5"/>
              </w:rPr>
              <w:t>增加模型路由策略、token 用量账本、预算、提示词版本/回滚和输出评估</w:t>
            </w:r>
          </w:p>
        </w:tc>
        <w:tc>
          <w:tcPr>
            <w:tcW w:type="dxa" w:w="277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5"/>
              </w:rPr>
              <w:t>可按用户/模型/功能查看日周月成本并设置预算</w:t>
            </w:r>
          </w:p>
        </w:tc>
      </w:tr>
      <w:tr>
        <w:trPr>
          <w:cantSplit/>
        </w:trPr>
        <w:tc>
          <w:tcPr>
            <w:tcW w:type="dxa" w:w="680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5"/>
              </w:rPr>
              <w:t>P1-08</w:t>
            </w:r>
          </w:p>
        </w:tc>
        <w:tc>
          <w:tcPr>
            <w:tcW w:type="dxa" w:w="2891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5"/>
              </w:rPr>
              <w:t>客户登录、设备、联系方式属于敏感数据</w:t>
            </w:r>
          </w:p>
        </w:tc>
        <w:tc>
          <w:tcPr>
            <w:tcW w:type="dxa" w:w="3572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5"/>
              </w:rPr>
              <w:t>字段级脱敏、按需解密、查看审计、导出水印、保留期限与删除流程</w:t>
            </w:r>
          </w:p>
        </w:tc>
        <w:tc>
          <w:tcPr>
            <w:tcW w:type="dxa" w:w="2778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5"/>
              </w:rPr>
              <w:t>敏感字段每次查看均有审计记录，越权测试为 0</w:t>
            </w:r>
          </w:p>
        </w:tc>
      </w:tr>
    </w:tbl>
    <w:p>
      <w:pPr>
        <w:spacing w:after="0"/>
      </w:pPr>
    </w:p>
    <w:p>
      <w:pPr>
        <w:pStyle w:val="Heading1"/>
      </w:pPr>
      <w:r>
        <w:t>04  P2 工程与体验优化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969"/>
        <w:gridCol w:w="4252"/>
      </w:tblGrid>
      <w:tr>
        <w:trPr>
          <w:tblHeader w:val="true"/>
        </w:trPr>
        <w:tc>
          <w:tcPr>
            <w:tcW w:type="dxa" w:w="3345"/>
            <w:shd w:fill="0B1F3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主题</w:t>
            </w:r>
          </w:p>
        </w:tc>
        <w:tc>
          <w:tcPr>
            <w:tcW w:type="dxa" w:w="3345"/>
            <w:shd w:fill="0B1F3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问题</w:t>
            </w:r>
          </w:p>
        </w:tc>
        <w:tc>
          <w:tcPr>
            <w:tcW w:type="dxa" w:w="3345"/>
            <w:shd w:fill="0B1F3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建议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6"/>
              </w:rPr>
              <w:t>页面架构</w:t>
            </w:r>
          </w:p>
        </w:tc>
        <w:tc>
          <w:tcPr>
            <w:tcW w:type="dxa" w:w="396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app/page.tsx 体积大且包含大量内联组件，维护和测试风险高</w:t>
            </w:r>
          </w:p>
        </w:tc>
        <w:tc>
          <w:tcPr>
            <w:tcW w:type="dxa" w:w="425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按路由/领域拆为首页、运营、行情、会员、通知等独立模块，并抽离服务层</w:t>
            </w:r>
          </w:p>
        </w:tc>
      </w:tr>
      <w:tr>
        <w:trPr>
          <w:cantSplit/>
        </w:trPr>
        <w:tc>
          <w:tcPr>
            <w:tcW w:type="dxa" w:w="1701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6"/>
              </w:rPr>
              <w:t>旧功能下线</w:t>
            </w:r>
          </w:p>
        </w:tc>
        <w:tc>
          <w:tcPr>
            <w:tcW w:type="dxa" w:w="3969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团队任务、月度目标、逾期应收等入口虽隐藏，旧接口/组件仍存在</w:t>
            </w:r>
          </w:p>
        </w:tc>
        <w:tc>
          <w:tcPr>
            <w:tcW w:type="dxa" w:w="4252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做调用扫描、数据保留方案和正式 deprecation，确认无依赖后再安全删除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6"/>
              </w:rPr>
              <w:t>Lint 技术债</w:t>
            </w:r>
          </w:p>
        </w:tc>
        <w:tc>
          <w:tcPr>
            <w:tcW w:type="dxa" w:w="396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全仓库当前 84 个错误、10 个告警；本次目标文件已单独清零</w:t>
            </w:r>
          </w:p>
        </w:tc>
        <w:tc>
          <w:tcPr>
            <w:tcW w:type="dxa" w:w="425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按目录建立基线，先修未定义组件和无障碍，再逐步开启 CI 阻断</w:t>
            </w:r>
          </w:p>
        </w:tc>
      </w:tr>
      <w:tr>
        <w:trPr>
          <w:cantSplit/>
        </w:trPr>
        <w:tc>
          <w:tcPr>
            <w:tcW w:type="dxa" w:w="1701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6"/>
              </w:rPr>
              <w:t>测试覆盖</w:t>
            </w:r>
          </w:p>
        </w:tc>
        <w:tc>
          <w:tcPr>
            <w:tcW w:type="dxa" w:w="3969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自动测试目前以构建和 2 个页面渲染测试为主</w:t>
            </w:r>
          </w:p>
        </w:tc>
        <w:tc>
          <w:tcPr>
            <w:tcW w:type="dxa" w:w="4252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增加单元、API 集成、角色权限、收入分配、浏览器 E2E 与视觉回归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6"/>
              </w:rPr>
              <w:t>设计系统</w:t>
            </w:r>
          </w:p>
        </w:tc>
        <w:tc>
          <w:tcPr>
            <w:tcW w:type="dxa" w:w="396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部分页面仍是历史样式与新运维样式并存</w:t>
            </w:r>
          </w:p>
        </w:tc>
        <w:tc>
          <w:tcPr>
            <w:tcW w:type="dxa" w:w="425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统一间距、字体、表单、状态、空态、错误和响应式断点</w:t>
            </w:r>
          </w:p>
        </w:tc>
      </w:tr>
      <w:tr>
        <w:trPr>
          <w:cantSplit/>
        </w:trPr>
        <w:tc>
          <w:tcPr>
            <w:tcW w:type="dxa" w:w="1701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6"/>
              </w:rPr>
              <w:t>可访问性</w:t>
            </w:r>
          </w:p>
        </w:tc>
        <w:tc>
          <w:tcPr>
            <w:tcW w:type="dxa" w:w="3969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旧表单存在 label 关联、图片和键盘操作告警</w:t>
            </w:r>
          </w:p>
        </w:tc>
        <w:tc>
          <w:tcPr>
            <w:tcW w:type="dxa" w:w="4252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以 WCAG 2.2 AA 为目标修复语义、焦点、对比度和屏幕阅读器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6"/>
              </w:rPr>
              <w:t>文档与变更</w:t>
            </w:r>
          </w:p>
        </w:tc>
        <w:tc>
          <w:tcPr>
            <w:tcW w:type="dxa" w:w="396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业务规则散落在聊天、代码与页面文案中</w:t>
            </w:r>
          </w:p>
        </w:tc>
        <w:tc>
          <w:tcPr>
            <w:tcW w:type="dxa" w:w="425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把角色矩阵、分成公式、接口版本、数据字典纳入版本化产品文档</w:t>
            </w:r>
          </w:p>
        </w:tc>
      </w:tr>
    </w:tbl>
    <w:p>
      <w:pPr>
        <w:spacing w:after="0"/>
      </w:pPr>
    </w:p>
    <w:p>
      <w:pPr>
        <w:pStyle w:val="Heading1"/>
      </w:pPr>
      <w:r>
        <w:t>05  0–90 天路线图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361"/>
        <w:gridCol w:w="4422"/>
        <w:gridCol w:w="2211"/>
      </w:tblGrid>
      <w:tr>
        <w:trPr>
          <w:tblHeader w:val="true"/>
        </w:trPr>
        <w:tc>
          <w:tcPr>
            <w:tcW w:type="dxa" w:w="2509"/>
            <w:shd w:fill="0B1F3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2509"/>
            <w:shd w:fill="0B1F3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时间</w:t>
            </w:r>
          </w:p>
        </w:tc>
        <w:tc>
          <w:tcPr>
            <w:tcW w:type="dxa" w:w="2509"/>
            <w:shd w:fill="0B1F3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主要交付</w:t>
            </w:r>
          </w:p>
        </w:tc>
        <w:tc>
          <w:tcPr>
            <w:tcW w:type="dxa" w:w="2509"/>
            <w:shd w:fill="0B1F3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建议负责人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6"/>
              </w:rPr>
              <w:t>阶段 A：安全基线</w:t>
            </w:r>
          </w:p>
        </w:tc>
        <w:tc>
          <w:tcPr>
            <w:tcW w:type="dxa" w:w="136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第 1–2 周</w:t>
            </w:r>
          </w:p>
        </w:tc>
        <w:tc>
          <w:tcPr>
            <w:tcW w:type="dxa" w:w="442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冻结生产交易、拆分技术角色、服务端开关、密钥托管、备份与恢复演练</w:t>
            </w:r>
          </w:p>
        </w:tc>
        <w:tc>
          <w:tcPr>
            <w:tcW w:type="dxa" w:w="221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技术负责人 + 安全</w:t>
            </w:r>
          </w:p>
        </w:tc>
      </w:tr>
      <w:tr>
        <w:trPr>
          <w:cantSplit/>
        </w:trPr>
        <w:tc>
          <w:tcPr>
            <w:tcW w:type="dxa" w:w="1928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6"/>
              </w:rPr>
              <w:t>阶段 B：资金闭环</w:t>
            </w:r>
          </w:p>
        </w:tc>
        <w:tc>
          <w:tcPr>
            <w:tcW w:type="dxa" w:w="1361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第 3–4 周</w:t>
            </w:r>
          </w:p>
        </w:tc>
        <w:tc>
          <w:tcPr>
            <w:tcW w:type="dxa" w:w="4422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支付订单、链上确认、入账、退款、对账、强制通知</w:t>
            </w:r>
          </w:p>
        </w:tc>
        <w:tc>
          <w:tcPr>
            <w:tcW w:type="dxa" w:w="2211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后端 + 财务 + 合规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6"/>
              </w:rPr>
              <w:t>阶段 C：交易闭环</w:t>
            </w:r>
          </w:p>
        </w:tc>
        <w:tc>
          <w:tcPr>
            <w:tcW w:type="dxa" w:w="136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第 5–6 周</w:t>
            </w:r>
          </w:p>
        </w:tc>
        <w:tc>
          <w:tcPr>
            <w:tcW w:type="dxa" w:w="442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沙箱执行、订单状态机、幂等、撤单、持仓核验、紧急停止演练</w:t>
            </w:r>
          </w:p>
        </w:tc>
        <w:tc>
          <w:tcPr>
            <w:tcW w:type="dxa" w:w="221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交易系统 + 风控</w:t>
            </w:r>
          </w:p>
        </w:tc>
      </w:tr>
      <w:tr>
        <w:trPr>
          <w:cantSplit/>
        </w:trPr>
        <w:tc>
          <w:tcPr>
            <w:tcW w:type="dxa" w:w="1928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6"/>
              </w:rPr>
              <w:t>阶段 D：数据与运营</w:t>
            </w:r>
          </w:p>
        </w:tc>
        <w:tc>
          <w:tcPr>
            <w:tcW w:type="dxa" w:w="1361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第 7–8 周</w:t>
            </w:r>
          </w:p>
        </w:tc>
        <w:tc>
          <w:tcPr>
            <w:tcW w:type="dxa" w:w="4422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行情熔断、亚洲股票供应商、SLO、告警、角色导航一致性</w:t>
            </w:r>
          </w:p>
        </w:tc>
        <w:tc>
          <w:tcPr>
            <w:tcW w:type="dxa" w:w="2211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数据工程 + 运维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6"/>
              </w:rPr>
              <w:t>阶段 E：国际化与质量</w:t>
            </w:r>
          </w:p>
        </w:tc>
        <w:tc>
          <w:tcPr>
            <w:tcW w:type="dxa" w:w="136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第 9–10 周</w:t>
            </w:r>
          </w:p>
        </w:tc>
        <w:tc>
          <w:tcPr>
            <w:tcW w:type="dxa" w:w="442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i18n 重构、术语审校、权限/API/收入规则测试、敏感数据审计</w:t>
            </w:r>
          </w:p>
        </w:tc>
        <w:tc>
          <w:tcPr>
            <w:tcW w:type="dxa" w:w="221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前端 + QA + 法务</w:t>
            </w:r>
          </w:p>
        </w:tc>
      </w:tr>
      <w:tr>
        <w:trPr>
          <w:cantSplit/>
        </w:trPr>
        <w:tc>
          <w:tcPr>
            <w:tcW w:type="dxa" w:w="1928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6"/>
              </w:rPr>
              <w:t>阶段 F：工程收口</w:t>
            </w:r>
          </w:p>
        </w:tc>
        <w:tc>
          <w:tcPr>
            <w:tcW w:type="dxa" w:w="1361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第 11–12 周</w:t>
            </w:r>
          </w:p>
        </w:tc>
        <w:tc>
          <w:tcPr>
            <w:tcW w:type="dxa" w:w="4422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拆分单体页面、清理旧功能、降低 lint、视觉回归、上线演练与签署</w:t>
            </w:r>
          </w:p>
        </w:tc>
        <w:tc>
          <w:tcPr>
            <w:tcW w:type="dxa" w:w="2211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全栈 + QA + 产品</w:t>
            </w:r>
          </w:p>
        </w:tc>
      </w:tr>
    </w:tbl>
    <w:p>
      <w:pPr>
        <w:spacing w:after="0"/>
      </w:pPr>
    </w:p>
    <w:p>
      <w:pPr>
        <w:pStyle w:val="Heading2"/>
      </w:pPr>
      <w:r>
        <w:t>每周固定治理节奏</w:t>
      </w:r>
    </w:p>
    <w:p>
      <w:pPr>
        <w:pStyle w:val="ListBullet"/>
        <w:spacing w:after="60"/>
        <w:ind w:left="283" w:hanging="113"/>
      </w:pPr>
      <w:r>
        <w:rPr>
          <w:rFonts w:ascii="Arial Unicode MS" w:hAnsi="Arial Unicode MS" w:eastAsia="Arial Unicode MS"/>
          <w:b w:val="0"/>
          <w:color w:val="152233"/>
          <w:sz w:val="19"/>
        </w:rPr>
        <w:t>周一：检查安全、交易、支付和供应商 SLO；确认本周发布范围。</w:t>
      </w:r>
    </w:p>
    <w:p>
      <w:pPr>
        <w:pStyle w:val="ListBullet"/>
        <w:spacing w:after="60"/>
        <w:ind w:left="283" w:hanging="113"/>
      </w:pPr>
      <w:r>
        <w:rPr>
          <w:rFonts w:ascii="Arial Unicode MS" w:hAnsi="Arial Unicode MS" w:eastAsia="Arial Unicode MS"/>
          <w:b w:val="0"/>
          <w:color w:val="152233"/>
          <w:sz w:val="19"/>
        </w:rPr>
        <w:t>周三：执行权限回归、账本对账和异常演练；审查高风险配置变更。</w:t>
      </w:r>
    </w:p>
    <w:p>
      <w:pPr>
        <w:pStyle w:val="ListBullet"/>
        <w:spacing w:after="60"/>
        <w:ind w:left="283" w:hanging="113"/>
      </w:pPr>
      <w:r>
        <w:rPr>
          <w:rFonts w:ascii="Arial Unicode MS" w:hAnsi="Arial Unicode MS" w:eastAsia="Arial Unicode MS"/>
          <w:b w:val="0"/>
          <w:color w:val="152233"/>
          <w:sz w:val="19"/>
        </w:rPr>
        <w:t>周五：发布候选版本、灰度验证、回滚演练；更新风险清单和业务文档。</w:t>
      </w:r>
    </w:p>
    <w:p>
      <w:pPr>
        <w:pStyle w:val="Heading1"/>
      </w:pPr>
      <w:r>
        <w:t>06  分阶段验收标准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7937"/>
      </w:tblGrid>
      <w:tr>
        <w:trPr>
          <w:tblHeader w:val="true"/>
        </w:trPr>
        <w:tc>
          <w:tcPr>
            <w:tcW w:type="dxa" w:w="5018"/>
            <w:shd w:fill="0B1F3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领域</w:t>
            </w:r>
          </w:p>
        </w:tc>
        <w:tc>
          <w:tcPr>
            <w:tcW w:type="dxa" w:w="5018"/>
            <w:shd w:fill="0B1F3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最低验收标准</w:t>
            </w:r>
          </w:p>
        </w:tc>
      </w:tr>
      <w:tr>
        <w:trPr>
          <w:cantSplit/>
        </w:trPr>
        <w:tc>
          <w:tcPr>
            <w:tcW w:type="dxa" w:w="198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6"/>
              </w:rPr>
              <w:t>权限</w:t>
            </w:r>
          </w:p>
        </w:tc>
        <w:tc>
          <w:tcPr>
            <w:tcW w:type="dxa" w:w="793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五级运营账号 + 4 类职能角色逐页逐接口测试；任何越权请求必须 403 并记录审计</w:t>
            </w:r>
          </w:p>
        </w:tc>
      </w:tr>
      <w:tr>
        <w:trPr>
          <w:cantSplit/>
        </w:trPr>
        <w:tc>
          <w:tcPr>
            <w:tcW w:type="dxa" w:w="1984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6"/>
              </w:rPr>
              <w:t>支付</w:t>
            </w:r>
          </w:p>
        </w:tc>
        <w:tc>
          <w:tcPr>
            <w:tcW w:type="dxa" w:w="7937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订单、地址、确认数、回调、重复回调、超时、退款、对账全部有状态机和幂等测试</w:t>
            </w:r>
          </w:p>
        </w:tc>
      </w:tr>
      <w:tr>
        <w:trPr>
          <w:cantSplit/>
        </w:trPr>
        <w:tc>
          <w:tcPr>
            <w:tcW w:type="dxa" w:w="198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6"/>
              </w:rPr>
              <w:t>交易</w:t>
            </w:r>
          </w:p>
        </w:tc>
        <w:tc>
          <w:tcPr>
            <w:tcW w:type="dxa" w:w="793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沙箱下单/撤单/部分成交/断线/重连/重复请求/紧急停止全部通过，持仓与交易所一致</w:t>
            </w:r>
          </w:p>
        </w:tc>
      </w:tr>
      <w:tr>
        <w:trPr>
          <w:cantSplit/>
        </w:trPr>
        <w:tc>
          <w:tcPr>
            <w:tcW w:type="dxa" w:w="1984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6"/>
              </w:rPr>
              <w:t>行情</w:t>
            </w:r>
          </w:p>
        </w:tc>
        <w:tc>
          <w:tcPr>
            <w:tcW w:type="dxa" w:w="7937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来源、时间戳、交易对、时区、复权规则明确；多源健康与降级告警可验证</w:t>
            </w:r>
          </w:p>
        </w:tc>
      </w:tr>
      <w:tr>
        <w:trPr>
          <w:cantSplit/>
        </w:trPr>
        <w:tc>
          <w:tcPr>
            <w:tcW w:type="dxa" w:w="198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6"/>
              </w:rPr>
              <w:t>AI</w:t>
            </w:r>
          </w:p>
        </w:tc>
        <w:tc>
          <w:tcPr>
            <w:tcW w:type="dxa" w:w="793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密钥不回显；模型超时与失败可降级；成本可归集；模型输出无法绕过硬风控</w:t>
            </w:r>
          </w:p>
        </w:tc>
      </w:tr>
      <w:tr>
        <w:trPr>
          <w:cantSplit/>
        </w:trPr>
        <w:tc>
          <w:tcPr>
            <w:tcW w:type="dxa" w:w="1984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6"/>
              </w:rPr>
              <w:t>通知</w:t>
            </w:r>
          </w:p>
        </w:tc>
        <w:tc>
          <w:tcPr>
            <w:tcW w:type="dxa" w:w="7937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强制通知不可关闭；失败重试和死信可查；敏感内容不明文泄露</w:t>
            </w:r>
          </w:p>
        </w:tc>
      </w:tr>
      <w:tr>
        <w:trPr>
          <w:cantSplit/>
        </w:trPr>
        <w:tc>
          <w:tcPr>
            <w:tcW w:type="dxa" w:w="198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6"/>
              </w:rPr>
              <w:t>数据</w:t>
            </w:r>
          </w:p>
        </w:tc>
        <w:tc>
          <w:tcPr>
            <w:tcW w:type="dxa" w:w="793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客户详情、登录记录、组织链和收入分配按最小权限展示；导出和查看有日志</w:t>
            </w:r>
          </w:p>
        </w:tc>
      </w:tr>
      <w:tr>
        <w:trPr>
          <w:cantSplit/>
        </w:trPr>
        <w:tc>
          <w:tcPr>
            <w:tcW w:type="dxa" w:w="1984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6"/>
              </w:rPr>
              <w:t>发布</w:t>
            </w:r>
          </w:p>
        </w:tc>
        <w:tc>
          <w:tcPr>
            <w:tcW w:type="dxa" w:w="7937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迁移前自动备份；发布可灰度；回滚在规定时间内完成；版本和责任人可审计</w:t>
            </w:r>
          </w:p>
        </w:tc>
      </w:tr>
    </w:tbl>
    <w:p>
      <w:pPr>
        <w:spacing w:after="0"/>
      </w:pPr>
    </w:p>
    <w:p>
      <w:pPr>
        <w:pStyle w:val="Heading1"/>
      </w:pPr>
      <w:r>
        <w:t>07  上线前检查清单</w:t>
      </w:r>
    </w:p>
    <w:p>
      <w:pPr>
        <w:pStyle w:val="ListBullet"/>
        <w:spacing w:after="60"/>
        <w:ind w:left="283" w:hanging="113"/>
      </w:pPr>
      <w:r>
        <w:rPr>
          <w:rFonts w:ascii="Arial Unicode MS" w:hAnsi="Arial Unicode MS" w:eastAsia="Arial Unicode MS"/>
          <w:b w:val="0"/>
          <w:color w:val="152233"/>
          <w:sz w:val="19"/>
        </w:rPr>
        <w:t>[ ] 真实资金开关、自动交易开关默认关闭，并经过双人审批才能开启</w:t>
      </w:r>
    </w:p>
    <w:p>
      <w:pPr>
        <w:pStyle w:val="ListBullet"/>
        <w:spacing w:after="60"/>
        <w:ind w:left="283" w:hanging="113"/>
      </w:pPr>
      <w:r>
        <w:rPr>
          <w:rFonts w:ascii="Arial Unicode MS" w:hAnsi="Arial Unicode MS" w:eastAsia="Arial Unicode MS"/>
          <w:b w:val="0"/>
          <w:color w:val="152233"/>
          <w:sz w:val="19"/>
        </w:rPr>
        <w:t>[ ] 生产、测试、开发数据库和密钥完全隔离</w:t>
      </w:r>
    </w:p>
    <w:p>
      <w:pPr>
        <w:pStyle w:val="ListBullet"/>
        <w:spacing w:after="60"/>
        <w:ind w:left="283" w:hanging="113"/>
      </w:pPr>
      <w:r>
        <w:rPr>
          <w:rFonts w:ascii="Arial Unicode MS" w:hAnsi="Arial Unicode MS" w:eastAsia="Arial Unicode MS"/>
          <w:b w:val="0"/>
          <w:color w:val="152233"/>
          <w:sz w:val="19"/>
        </w:rPr>
        <w:t>[ ] 管理员强制 MFA；技术、财务、审核角色完成最小权限验证</w:t>
      </w:r>
    </w:p>
    <w:p>
      <w:pPr>
        <w:pStyle w:val="ListBullet"/>
        <w:spacing w:after="60"/>
        <w:ind w:left="283" w:hanging="113"/>
      </w:pPr>
      <w:r>
        <w:rPr>
          <w:rFonts w:ascii="Arial Unicode MS" w:hAnsi="Arial Unicode MS" w:eastAsia="Arial Unicode MS"/>
          <w:b w:val="0"/>
          <w:color w:val="152233"/>
          <w:sz w:val="19"/>
        </w:rPr>
        <w:t>[ ] 支付、退款、收入分配、结算和策略作者分成全部完成对账测试</w:t>
      </w:r>
    </w:p>
    <w:p>
      <w:pPr>
        <w:pStyle w:val="ListBullet"/>
        <w:spacing w:after="60"/>
        <w:ind w:left="283" w:hanging="113"/>
      </w:pPr>
      <w:r>
        <w:rPr>
          <w:rFonts w:ascii="Arial Unicode MS" w:hAnsi="Arial Unicode MS" w:eastAsia="Arial Unicode MS"/>
          <w:b w:val="0"/>
          <w:color w:val="152233"/>
          <w:sz w:val="19"/>
        </w:rPr>
        <w:t>[ ] 交易订单幂等、仓位核验、断线恢复和全局紧急停止演练通过</w:t>
      </w:r>
    </w:p>
    <w:p>
      <w:pPr>
        <w:pStyle w:val="ListBullet"/>
        <w:spacing w:after="60"/>
        <w:ind w:left="283" w:hanging="113"/>
      </w:pPr>
      <w:r>
        <w:rPr>
          <w:rFonts w:ascii="Arial Unicode MS" w:hAnsi="Arial Unicode MS" w:eastAsia="Arial Unicode MS"/>
          <w:b w:val="0"/>
          <w:color w:val="152233"/>
          <w:sz w:val="19"/>
        </w:rPr>
        <w:t>[ ] 行情、新闻、股票数据源已确认商业许可、配额和 SLA</w:t>
      </w:r>
    </w:p>
    <w:p>
      <w:pPr>
        <w:pStyle w:val="ListBullet"/>
        <w:spacing w:after="60"/>
        <w:ind w:left="283" w:hanging="113"/>
      </w:pPr>
      <w:r>
        <w:rPr>
          <w:rFonts w:ascii="Arial Unicode MS" w:hAnsi="Arial Unicode MS" w:eastAsia="Arial Unicode MS"/>
          <w:b w:val="0"/>
          <w:color w:val="152233"/>
          <w:sz w:val="19"/>
        </w:rPr>
        <w:t>[ ] 客户隐私、KYC/AML、风险披露、服务条款与禁用地区完成法律审核</w:t>
      </w:r>
    </w:p>
    <w:p>
      <w:pPr>
        <w:pStyle w:val="ListBullet"/>
        <w:spacing w:after="60"/>
        <w:ind w:left="283" w:hanging="113"/>
      </w:pPr>
      <w:r>
        <w:rPr>
          <w:rFonts w:ascii="Arial Unicode MS" w:hAnsi="Arial Unicode MS" w:eastAsia="Arial Unicode MS"/>
          <w:b w:val="0"/>
          <w:color w:val="152233"/>
          <w:sz w:val="19"/>
        </w:rPr>
        <w:t>[ ] 监控、日志、追踪、告警、值班、事故响应和备份恢复流程已演练</w:t>
      </w:r>
    </w:p>
    <w:p>
      <w:pPr>
        <w:pStyle w:val="ListBullet"/>
        <w:spacing w:after="60"/>
        <w:ind w:left="283" w:hanging="113"/>
      </w:pPr>
      <w:r>
        <w:rPr>
          <w:rFonts w:ascii="Arial Unicode MS" w:hAnsi="Arial Unicode MS" w:eastAsia="Arial Unicode MS"/>
          <w:b w:val="0"/>
          <w:color w:val="152233"/>
          <w:sz w:val="19"/>
        </w:rPr>
        <w:t>[ ] 7 种语言核心页面人工审校，无混杂语言和金融术语歧义</w:t>
      </w:r>
    </w:p>
    <w:p>
      <w:pPr>
        <w:pStyle w:val="ListBullet"/>
        <w:spacing w:after="60"/>
        <w:ind w:left="283" w:hanging="113"/>
      </w:pPr>
      <w:r>
        <w:rPr>
          <w:rFonts w:ascii="Arial Unicode MS" w:hAnsi="Arial Unicode MS" w:eastAsia="Arial Unicode MS"/>
          <w:b w:val="0"/>
          <w:color w:val="152233"/>
          <w:sz w:val="19"/>
        </w:rPr>
        <w:t>[ ] 全站无演示价格、假在线数、假延迟或未标注的模拟数据</w:t>
      </w:r>
    </w:p>
    <w:p>
      <w:pPr>
        <w:pStyle w:val="ListBullet"/>
        <w:spacing w:after="60"/>
        <w:ind w:left="283" w:hanging="113"/>
      </w:pPr>
      <w:r>
        <w:rPr>
          <w:rFonts w:ascii="Arial Unicode MS" w:hAnsi="Arial Unicode MS" w:eastAsia="Arial Unicode MS"/>
          <w:b w:val="0"/>
          <w:color w:val="152233"/>
          <w:sz w:val="19"/>
        </w:rPr>
        <w:t>[ ] 关键 API、权限、收入规则、支付与交易 E2E 自动测试进入 CI</w:t>
      </w:r>
    </w:p>
    <w:p>
      <w:pPr>
        <w:pStyle w:val="ListBullet"/>
        <w:spacing w:after="60"/>
        <w:ind w:left="283" w:hanging="113"/>
      </w:pPr>
      <w:r>
        <w:rPr>
          <w:rFonts w:ascii="Arial Unicode MS" w:hAnsi="Arial Unicode MS" w:eastAsia="Arial Unicode MS"/>
          <w:b w:val="0"/>
          <w:color w:val="152233"/>
          <w:sz w:val="19"/>
        </w:rPr>
        <w:t>[ ] 发布版本、数据库迁移、回滚包、负责人和上线窗口已确认</w:t>
      </w:r>
    </w:p>
    <w:p>
      <w:pPr>
        <w:pStyle w:val="Heading1"/>
      </w:pPr>
      <w:r>
        <w:t>08  需要业务方最终确认的规则</w:t>
      </w:r>
    </w:p>
    <w:p>
      <w:pPr>
        <w:spacing w:after="160"/>
      </w:pPr>
      <w:r>
        <w:t>这些项目不是技术实现能自行决定的事项，应在正式上线前形成书面业务决议并版本化。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3969"/>
        <w:gridCol w:w="3628"/>
      </w:tblGrid>
      <w:tr>
        <w:trPr>
          <w:tblHeader w:val="true"/>
        </w:trPr>
        <w:tc>
          <w:tcPr>
            <w:tcW w:type="dxa" w:w="3345"/>
            <w:shd w:fill="0B1F3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待确认事项</w:t>
            </w:r>
          </w:p>
        </w:tc>
        <w:tc>
          <w:tcPr>
            <w:tcW w:type="dxa" w:w="3345"/>
            <w:shd w:fill="0B1F3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当前代码口径</w:t>
            </w:r>
          </w:p>
        </w:tc>
        <w:tc>
          <w:tcPr>
            <w:tcW w:type="dxa" w:w="3345"/>
            <w:shd w:fill="0B1F3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需要确认</w:t>
            </w:r>
          </w:p>
        </w:tc>
      </w:tr>
      <w:tr>
        <w:trPr>
          <w:cantSplit/>
        </w:trPr>
        <w:tc>
          <w:tcPr>
            <w:tcW w:type="dxa" w:w="232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6"/>
              </w:rPr>
              <w:t>会员收入</w:t>
            </w:r>
          </w:p>
        </w:tc>
        <w:tc>
          <w:tcPr>
            <w:tcW w:type="dxa" w:w="396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毛收入总部 60% / 分公司 40%；无有效归属总部 100%</w:t>
            </w:r>
          </w:p>
        </w:tc>
        <w:tc>
          <w:tcPr>
            <w:tcW w:type="dxa" w:w="362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是否适用于所有套餐、优惠、退款与税费场景</w:t>
            </w:r>
          </w:p>
        </w:tc>
      </w:tr>
      <w:tr>
        <w:trPr>
          <w:cantSplit/>
        </w:trPr>
        <w:tc>
          <w:tcPr>
            <w:tcW w:type="dxa" w:w="2324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6"/>
              </w:rPr>
              <w:t>总部部门分配</w:t>
            </w:r>
          </w:p>
        </w:tc>
        <w:tc>
          <w:tcPr>
            <w:tcW w:type="dxa" w:w="3969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网站可分配收益：技术 2.5%、招商 2.5%、运营 15%</w:t>
            </w:r>
          </w:p>
        </w:tc>
        <w:tc>
          <w:tcPr>
            <w:tcW w:type="dxa" w:w="3628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是否需要增加财务、客服、风控或预留池</w:t>
            </w:r>
          </w:p>
        </w:tc>
      </w:tr>
      <w:tr>
        <w:trPr>
          <w:cantSplit/>
        </w:trPr>
        <w:tc>
          <w:tcPr>
            <w:tcW w:type="dxa" w:w="232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6"/>
              </w:rPr>
              <w:t>盈利分成</w:t>
            </w:r>
          </w:p>
        </w:tc>
        <w:tc>
          <w:tcPr>
            <w:tcW w:type="dxa" w:w="396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每周正收益收费；20%/19%/18%/16%；亏损不结转</w:t>
            </w:r>
          </w:p>
        </w:tc>
        <w:tc>
          <w:tcPr>
            <w:tcW w:type="dxa" w:w="362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是否需要高水位、亏损追回、结算时区和最低收费门槛</w:t>
            </w:r>
          </w:p>
        </w:tc>
      </w:tr>
      <w:tr>
        <w:trPr>
          <w:cantSplit/>
        </w:trPr>
        <w:tc>
          <w:tcPr>
            <w:tcW w:type="dxa" w:w="2324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6"/>
              </w:rPr>
              <w:t>个人代理</w:t>
            </w:r>
          </w:p>
        </w:tc>
        <w:tc>
          <w:tcPr>
            <w:tcW w:type="dxa" w:w="3969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月度业绩阶梯 20%–50%，每月清零</w:t>
            </w:r>
          </w:p>
        </w:tc>
        <w:tc>
          <w:tcPr>
            <w:tcW w:type="dxa" w:w="3628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业绩定义、退款冲减、跨月订单和离职结算</w:t>
            </w:r>
          </w:p>
        </w:tc>
      </w:tr>
      <w:tr>
        <w:trPr>
          <w:cantSplit/>
        </w:trPr>
        <w:tc>
          <w:tcPr>
            <w:tcW w:type="dxa" w:w="232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6"/>
              </w:rPr>
              <w:t>策略广场</w:t>
            </w:r>
          </w:p>
        </w:tc>
        <w:tc>
          <w:tcPr>
            <w:tcW w:type="dxa" w:w="396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平台 50% / 作者 50%；平台份额再按总部/分公司分配</w:t>
            </w:r>
          </w:p>
        </w:tc>
        <w:tc>
          <w:tcPr>
            <w:tcW w:type="dxa" w:w="362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税费、退款、争议、盗版、作者封禁和下架后的处理</w:t>
            </w:r>
          </w:p>
        </w:tc>
      </w:tr>
      <w:tr>
        <w:trPr>
          <w:cantSplit/>
        </w:trPr>
        <w:tc>
          <w:tcPr>
            <w:tcW w:type="dxa" w:w="2324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6"/>
              </w:rPr>
              <w:t>双人审批</w:t>
            </w:r>
          </w:p>
        </w:tc>
        <w:tc>
          <w:tcPr>
            <w:tcW w:type="dxa" w:w="3969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策略需 2 名总部审核；运营申请由分公司最终审批且申请人不能自批</w:t>
            </w:r>
          </w:p>
        </w:tc>
        <w:tc>
          <w:tcPr>
            <w:tcW w:type="dxa" w:w="3628"/>
            <w:shd w:fill="F5F8FB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是否要求所有资金类申请也必须两名不同审批人</w:t>
            </w:r>
          </w:p>
        </w:tc>
      </w:tr>
      <w:tr>
        <w:trPr>
          <w:cantSplit/>
        </w:trPr>
        <w:tc>
          <w:tcPr>
            <w:tcW w:type="dxa" w:w="232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233"/>
                <w:sz w:val="16"/>
              </w:rPr>
              <w:t>数据保留</w:t>
            </w:r>
          </w:p>
        </w:tc>
        <w:tc>
          <w:tcPr>
            <w:tcW w:type="dxa" w:w="396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审计和历史记录倾向保留</w:t>
            </w:r>
          </w:p>
        </w:tc>
        <w:tc>
          <w:tcPr>
            <w:tcW w:type="dxa" w:w="362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52677A"/>
                <w:sz w:val="16"/>
              </w:rPr>
              <w:t>客户关闭账号、隐私删除请求与监管保留期限如何平衡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8"/>
        <w:gridCol w:w="9723"/>
      </w:tblGrid>
      <w:tr>
        <w:tc>
          <w:tcPr>
            <w:tcW w:type="dxa" w:w="5018"/>
            <w:shd w:fill="1565C0"/>
            <w:tcMar>
              <w:top w:w="80" w:type="dxa"/>
              <w:start w:w="40" w:type="dxa"/>
              <w:bottom w:w="80" w:type="dxa"/>
              <w:end w:w="40" w:type="dxa"/>
            </w:tcMar>
          </w:tcPr>
          <w:p/>
        </w:tc>
        <w:tc>
          <w:tcPr>
            <w:tcW w:type="dxa" w:w="5018"/>
            <w:shd w:fill="F5F8FB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0B1F33"/>
                <w:sz w:val="20"/>
              </w:rPr>
              <w:t>建议的下一次决策会议</w:t>
            </w:r>
          </w:p>
          <w:p>
            <w:pPr>
              <w:spacing w:before="60"/>
            </w:pPr>
            <w:r>
              <w:rPr>
                <w:rFonts w:ascii="Arial Unicode MS" w:hAnsi="Arial Unicode MS" w:eastAsia="Arial Unicode MS"/>
                <w:b w:val="0"/>
                <w:color w:val="52677A"/>
                <w:sz w:val="18"/>
              </w:rPr>
              <w:t>先只讨论 P0：生产支付范围、真实交易开放边界、技术/财务角色、双人审批范围、适用国家和数据许可。上述五项确认后，再确定 90 天排期和预算。</w:t>
            </w:r>
          </w:p>
        </w:tc>
      </w:tr>
    </w:tbl>
    <w:p>
      <w:pPr>
        <w:spacing w:after="0"/>
      </w:pPr>
    </w:p>
    <w:p>
      <w:r>
        <w:t>文档结束。本路线图与《AgentNovas 网站功能与后台体系说明书》配套使用。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935" w:bottom="879" w:left="935" w:header="408" w:footer="4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内部工作文档  ·  2026-08-19  ·  </w:t>
    </w:r>
    <w:r>
      <w:rPr>
        <w:sz w:val="16"/>
      </w:rPr>
      <w:t xml:space="preserve">第 </w:t>
    </w:r>
    <w:fldSimple w:instr="PAGE"/>
    <w:r>
      <w:rPr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</w:pPr>
    <w:r>
      <w:rPr>
        <w:rFonts w:ascii="Arial Unicode MS" w:hAnsi="Arial Unicode MS" w:eastAsia="Arial Unicode MS"/>
        <w:b/>
        <w:color w:val="16B8D4"/>
        <w:sz w:val="16"/>
      </w:rPr>
      <w:t>AGENTNOVAS  ·  WOX LOCAL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Arial Unicode MS" w:hAnsi="Arial Unicode MS" w:eastAsia="Arial Unicode MS"/>
      <w:color w:val="1522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B1F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565C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522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rial Unicode MS" w:hAnsi="Arial Unicode MS" w:eastAsia="Arial Unicode MS"/>
      <w:b/>
      <w:color w:val="0B1F33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AgentNovas 改进事项与下一阶段路线图</dc:title>
  <dc:subject>逻辑不足、风险优先级、执行计划与验收标准</dc:subject>
  <dc:creator>AgentNovas / Codex</dc:creator>
  <cp:keywords>AgentNovas, WOX, 运营后台, 运维后台, 权限, 分成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