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</w:pPr>
      <w:r>
        <w:rPr>
          <w:rFonts w:ascii="Arial Unicode MS" w:hAnsi="Arial Unicode MS" w:eastAsia="Arial Unicode MS"/>
          <w:b/>
          <w:color w:val="FFFFFF"/>
          <w:sz w:val="68"/>
          <w:shd w:fill="16B8D4"/>
        </w:rPr>
        <w:t>A</w:t>
      </w:r>
    </w:p>
    <w:p>
      <w:pPr>
        <w:spacing w:before="480"/>
      </w:pPr>
      <w:r>
        <w:rPr>
          <w:rFonts w:ascii="Arial Unicode MS" w:hAnsi="Arial Unicode MS" w:eastAsia="Arial Unicode MS"/>
          <w:b/>
          <w:color w:val="16B8D4"/>
          <w:sz w:val="24"/>
        </w:rPr>
        <w:t>AGENTNOVAS</w:t>
      </w:r>
    </w:p>
    <w:p>
      <w:pPr>
        <w:pStyle w:val="Title"/>
      </w:pPr>
      <w:r>
        <w:t>网站功能与后台体系说明书</w:t>
      </w:r>
    </w:p>
    <w:p>
      <w:pPr>
        <w:spacing w:after="440"/>
      </w:pPr>
      <w:r>
        <w:rPr>
          <w:rFonts w:ascii="Arial Unicode MS" w:hAnsi="Arial Unicode MS" w:eastAsia="Arial Unicode MS"/>
          <w:b w:val="0"/>
          <w:color w:val="52677A"/>
          <w:sz w:val="26"/>
        </w:rPr>
        <w:t>核心功能 · 运营后台 · 运维后台 · 权限矩阵 · 奖励分成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36"/>
            <w:shd w:fill="0B1F33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当前结论：产品骨架与后台治理体系已形成，构建与核心页面验收通过</w:t>
            </w:r>
          </w:p>
          <w:p>
            <w:pPr>
              <w:spacing w:before="100"/>
            </w:pPr>
            <w:r>
              <w:rPr>
                <w:rFonts w:ascii="Arial Unicode MS" w:hAnsi="Arial Unicode MS" w:eastAsia="Arial Unicode MS"/>
                <w:b w:val="0"/>
                <w:color w:val="C9D8E5"/>
                <w:sz w:val="18"/>
              </w:rPr>
              <w:t>基于当前本地目录 /Users/zhonghetong/Documents/Codex/2026-08-11/wox 的代码、数据库结构、接口与页面实测结果。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24"/>
        <w:gridCol w:w="7597"/>
      </w:tblGrid>
      <w:tr>
        <w:trPr>
          <w:cantSplit/>
        </w:trPr>
        <w:tc>
          <w:tcPr>
            <w:tcW w:type="dxa" w:w="5018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65C0"/>
                <w:sz w:val="18"/>
              </w:rPr>
              <w:t>审阅日期</w:t>
            </w:r>
          </w:p>
        </w:tc>
        <w:tc>
          <w:tcPr>
            <w:tcW w:type="dxa" w:w="50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52233"/>
                <w:sz w:val="18"/>
              </w:rPr>
              <w:t>2026 年 8 月 19 日</w:t>
            </w:r>
          </w:p>
        </w:tc>
      </w:tr>
      <w:tr>
        <w:trPr>
          <w:cantSplit/>
        </w:trPr>
        <w:tc>
          <w:tcPr>
            <w:tcW w:type="dxa" w:w="5018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65C0"/>
                <w:sz w:val="18"/>
              </w:rPr>
              <w:t>项目状态</w:t>
            </w:r>
          </w:p>
        </w:tc>
        <w:tc>
          <w:tcPr>
            <w:tcW w:type="dxa" w:w="50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52233"/>
                <w:sz w:val="18"/>
              </w:rPr>
              <w:t>本地 WOX 已构建通过；未推送 Git，未上传服务器</w:t>
            </w:r>
          </w:p>
        </w:tc>
      </w:tr>
      <w:tr>
        <w:trPr>
          <w:cantSplit/>
        </w:trPr>
        <w:tc>
          <w:tcPr>
            <w:tcW w:type="dxa" w:w="5018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65C0"/>
                <w:sz w:val="18"/>
              </w:rPr>
              <w:t>当前域名规划</w:t>
            </w:r>
          </w:p>
        </w:tc>
        <w:tc>
          <w:tcPr>
            <w:tcW w:type="dxa" w:w="50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52233"/>
                <w:sz w:val="18"/>
              </w:rPr>
              <w:t>上传对象暂为 www.tzxsea.com；www.agentnovas.com 尚待 DNS 绑定</w:t>
            </w:r>
          </w:p>
        </w:tc>
      </w:tr>
      <w:tr>
        <w:trPr>
          <w:cantSplit/>
        </w:trPr>
        <w:tc>
          <w:tcPr>
            <w:tcW w:type="dxa" w:w="5018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65C0"/>
                <w:sz w:val="18"/>
              </w:rPr>
              <w:t>保密级别</w:t>
            </w:r>
          </w:p>
        </w:tc>
        <w:tc>
          <w:tcPr>
            <w:tcW w:type="dxa" w:w="50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52233"/>
                <w:sz w:val="18"/>
              </w:rPr>
              <w:t>内部使用 / 运营、技术与管理层参考</w:t>
            </w:r>
          </w:p>
        </w:tc>
      </w:tr>
    </w:tbl>
    <w:p>
      <w:pPr>
        <w:spacing w:before="560"/>
        <w:jc w:val="right"/>
      </w:pPr>
      <w:r>
        <w:rPr>
          <w:rFonts w:ascii="Arial Unicode MS" w:hAnsi="Arial Unicode MS" w:eastAsia="Arial Unicode MS"/>
          <w:b/>
          <w:color w:val="52677A"/>
          <w:sz w:val="18"/>
        </w:rPr>
        <w:t>AgentNovas · 智能交易中枢</w:t>
      </w:r>
    </w:p>
    <w:p>
      <w:r>
        <w:br w:type="page"/>
      </w:r>
    </w:p>
    <w:p>
      <w:pPr>
        <w:pStyle w:val="Heading1"/>
      </w:pPr>
      <w:r>
        <w:t>文档导航</w:t>
      </w:r>
    </w:p>
    <w:p>
      <w:r>
        <w:t>本目录为静态导航，便于在 WPS 中快速阅读。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01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执行摘要与产品定位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02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全站架构与数据边界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03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用户侧核心功能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04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运营后台功能体系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05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运维后台功能体系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06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角色与数据可见范围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07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客户 360° 详情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08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行情、新闻与交易成熟度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09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奖励分成规则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10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核心亮点与竞争优势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11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本地验收结果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A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系统规模附录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01  执行摘要与产品定位</w:t>
      </w:r>
    </w:p>
    <w:p>
      <w:pPr>
        <w:spacing w:after="160"/>
      </w:pPr>
      <w:r>
        <w:t>AgentNovas 是一个面向交易用户、组织运营团队和总部技术团队的一体化智能交易平台。当前本地版已完成用户门户、行情与新闻、AI 助手、策略广场、交易账户连接、会员、通知、组织运营和技术运维的统一产品框架。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723"/>
      </w:tblGrid>
      <w:tr>
        <w:tc>
          <w:tcPr>
            <w:tcW w:type="dxa" w:w="5018"/>
            <w:shd w:fill="16B8D4"/>
            <w:tcMar>
              <w:top w:w="80" w:type="dxa"/>
              <w:start w:w="40" w:type="dxa"/>
              <w:bottom w:w="80" w:type="dxa"/>
              <w:end w:w="40" w:type="dxa"/>
            </w:tcMar>
          </w:tcPr>
          <w:p/>
        </w:tc>
        <w:tc>
          <w:tcPr>
            <w:tcW w:type="dxa" w:w="5018"/>
            <w:shd w:fill="F5F8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F33"/>
                <w:sz w:val="20"/>
              </w:rPr>
              <w:t>一句话定位</w:t>
            </w:r>
          </w:p>
          <w:p>
            <w:pPr>
              <w:spacing w:before="60"/>
            </w:pPr>
            <w:r>
              <w:rPr>
                <w:rFonts w:ascii="Arial Unicode MS" w:hAnsi="Arial Unicode MS" w:eastAsia="Arial Unicode MS"/>
                <w:b w:val="0"/>
                <w:color w:val="52677A"/>
                <w:sz w:val="18"/>
              </w:rPr>
              <w:t>以客户归属链和权限隔离为基础，把行情研究、AI 策略、交易连接、会员计费、组织运营、策略审核与系统运维放在同一个可审计平台中。</w:t>
            </w:r>
          </w:p>
        </w:tc>
      </w:tr>
    </w:tbl>
    <w:p>
      <w:pPr>
        <w:spacing w:after="0"/>
      </w:pPr>
    </w:p>
    <w:p>
      <w:pPr>
        <w:pStyle w:val="Heading2"/>
      </w:pPr>
      <w:r>
        <w:t>当前完成度判断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304"/>
        <w:gridCol w:w="6293"/>
      </w:tblGrid>
      <w:tr>
        <w:trPr>
          <w:tblHeader w:val="true"/>
        </w:trPr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产品与界面框架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已形成</w:t>
            </w:r>
          </w:p>
        </w:tc>
        <w:tc>
          <w:tcPr>
            <w:tcW w:type="dxa" w:w="62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前台、运营后台、运维后台入口和主要页面已具备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组织与客户权限</w:t>
            </w:r>
          </w:p>
        </w:tc>
        <w:tc>
          <w:tcPr>
            <w:tcW w:type="dxa" w:w="130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可用</w:t>
            </w:r>
          </w:p>
        </w:tc>
        <w:tc>
          <w:tcPr>
            <w:tcW w:type="dxa" w:w="6293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五级组织链、直客邀请、客户范围过滤、手动启停和恢复已实现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行情与新闻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部分生产可用</w:t>
            </w:r>
          </w:p>
        </w:tc>
        <w:tc>
          <w:tcPr>
            <w:tcW w:type="dxa" w:w="62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币安公开行情与 RSS 新闻本地实测可返回真实数据；供应商稳定性与授权仍需加强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策略与审核</w:t>
            </w:r>
          </w:p>
        </w:tc>
        <w:tc>
          <w:tcPr>
            <w:tcW w:type="dxa" w:w="130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核心流程可用</w:t>
            </w:r>
          </w:p>
        </w:tc>
        <w:tc>
          <w:tcPr>
            <w:tcW w:type="dxa" w:w="6293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用户提交、双人策略审核、上架状态与审计链路已具备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真实资金与自动交易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尚未生产开放</w:t>
            </w:r>
          </w:p>
        </w:tc>
        <w:tc>
          <w:tcPr>
            <w:tcW w:type="dxa" w:w="62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当前仍以模拟执行、接口连接和受控自动化为主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运维治理</w:t>
            </w:r>
          </w:p>
        </w:tc>
        <w:tc>
          <w:tcPr>
            <w:tcW w:type="dxa" w:w="130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本次已增强</w:t>
            </w:r>
          </w:p>
        </w:tc>
        <w:tc>
          <w:tcPr>
            <w:tcW w:type="dxa" w:w="6293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新增持久化系统、功能、计费、集成、安全配置和运行状态面板</w:t>
            </w:r>
          </w:p>
        </w:tc>
      </w:tr>
    </w:tbl>
    <w:p>
      <w:pPr>
        <w:spacing w:after="0"/>
      </w:pPr>
    </w:p>
    <w:p>
      <w:pPr>
        <w:pStyle w:val="Heading1"/>
      </w:pPr>
      <w:r>
        <w:t>02  全站架构与数据边界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535"/>
        <w:gridCol w:w="3912"/>
      </w:tblGrid>
      <w:tr>
        <w:trPr>
          <w:tblHeader w:val="true"/>
        </w:trPr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主要内容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责任边界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用户门户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交易大厅、Agent 对话、行情中心、策略广场、交易中心、会员中心、消息订阅</w:t>
            </w:r>
          </w:p>
        </w:tc>
        <w:tc>
          <w:tcPr>
            <w:tcW w:type="dxa" w:w="3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客户仅查看与操作自身账户和自身策略</w:t>
            </w:r>
          </w:p>
        </w:tc>
      </w:tr>
      <w:tr>
        <w:trPr>
          <w:cantSplit/>
        </w:trPr>
        <w:tc>
          <w:tcPr>
            <w:tcW w:type="dxa" w:w="147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运营后台</w:t>
            </w:r>
          </w:p>
        </w:tc>
        <w:tc>
          <w:tcPr>
            <w:tcW w:type="dxa" w:w="45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待审批、客户管理、组织成员、数据中心、月度分红、结算、收入调整、邀请码</w:t>
            </w:r>
          </w:p>
        </w:tc>
        <w:tc>
          <w:tcPr>
            <w:tcW w:type="dxa" w:w="391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按照员工→主管→经理→分公司→总公司的组织链控制可见范围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运维后台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策略审核、系统配置、功能开关、AI、计费、权限、集成、系统运维、安全</w:t>
            </w:r>
          </w:p>
        </w:tc>
        <w:tc>
          <w:tcPr>
            <w:tcW w:type="dxa" w:w="3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暂由 hq_admin 承载，总公司技术人员使用</w:t>
            </w:r>
          </w:p>
        </w:tc>
      </w:tr>
      <w:tr>
        <w:trPr>
          <w:cantSplit/>
        </w:trPr>
        <w:tc>
          <w:tcPr>
            <w:tcW w:type="dxa" w:w="147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服务端与数据库</w:t>
            </w:r>
          </w:p>
        </w:tc>
        <w:tc>
          <w:tcPr>
            <w:tcW w:type="dxa" w:w="45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82 个 API 路由、39 个数据表、会话、审计、收入账本、审批单</w:t>
            </w:r>
          </w:p>
        </w:tc>
        <w:tc>
          <w:tcPr>
            <w:tcW w:type="dxa" w:w="391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接口再次校验角色和归属，不能只依靠前端隐藏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外部服务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行情供应商、RSS 新闻、OpenAI 兼容大模型、交易所连接、通知渠道</w:t>
            </w:r>
          </w:p>
        </w:tc>
        <w:tc>
          <w:tcPr>
            <w:tcW w:type="dxa" w:w="3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密钥加密、超时保护、运行时路由；生产 SLA 仍需建设</w:t>
            </w:r>
          </w:p>
        </w:tc>
      </w:tr>
    </w:tbl>
    <w:p>
      <w:pPr>
        <w:spacing w:after="0"/>
      </w:pPr>
    </w:p>
    <w:p>
      <w:pPr>
        <w:pStyle w:val="Heading2"/>
      </w:pPr>
      <w:r>
        <w:t>关键数据边界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客户归属由 branchId、managerId、supervisorId、employeeId 构成；服务端按角色逐级过滤。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总公司与总公司客服可查看全站客户；分公司与财务/审核员仅看同分公司；经理、主管、员工只看自己的直属范围。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客户风控信息对运营侧只展示客户本人是否点击过“停止交易”及时间记录，不开放代替客户操作的按钮。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月度分红接口已收紧为当前账号/当前组织的已确认分配，不返回其他组织和总公司的收入汇总。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系统配置写入 platform_settings 表并进入审计日志，前端默认值只作为无配置时的安全回退。</w:t>
      </w:r>
    </w:p>
    <w:p>
      <w:pPr>
        <w:pStyle w:val="Heading1"/>
      </w:pPr>
      <w:r>
        <w:t>03  用户侧核心功能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535"/>
        <w:gridCol w:w="3855"/>
      </w:tblGrid>
      <w:tr>
        <w:trPr>
          <w:tblHeader w:val="true"/>
        </w:trPr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当前功能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数据性质 / 备注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交易大厅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平台概览、Agent 状态、策略与行情入口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部分展示指标仍为演示值，需逐步替换为实时统计</w:t>
            </w:r>
          </w:p>
        </w:tc>
      </w:tr>
      <w:tr>
        <w:trPr>
          <w:cantSplit/>
        </w:trPr>
        <w:tc>
          <w:tcPr>
            <w:tcW w:type="dxa" w:w="153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Agent 对话</w:t>
            </w:r>
          </w:p>
        </w:tc>
        <w:tc>
          <w:tcPr>
            <w:tcW w:type="dxa" w:w="45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市场研究、策略讨论、团队协作、用户自带模型</w:t>
            </w:r>
          </w:p>
        </w:tc>
        <w:tc>
          <w:tcPr>
            <w:tcW w:type="dxa" w:w="385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支持系统模型和自定义 OpenAI 兼容端点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行情中心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自选、K 线、缩放/拖动、盘口式指标、新闻、多个公开源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币安实测可用；实时推送与 REST 回补并行</w:t>
            </w:r>
          </w:p>
        </w:tc>
      </w:tr>
      <w:tr>
        <w:trPr>
          <w:cantSplit/>
        </w:trPr>
        <w:tc>
          <w:tcPr>
            <w:tcW w:type="dxa" w:w="153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策略广场</w:t>
            </w:r>
          </w:p>
        </w:tc>
        <w:tc>
          <w:tcPr>
            <w:tcW w:type="dxa" w:w="45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平台策略、用户策略、详情、回测、关注与跟随</w:t>
            </w:r>
          </w:p>
        </w:tc>
        <w:tc>
          <w:tcPr>
            <w:tcW w:type="dxa" w:w="385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用户策略必须先提交并经过总部双人审核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交易中心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交易所 API 账户、路由、持仓、模拟订单与风控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真实自动下单默认关闭，不能视为生产交易系统</w:t>
            </w:r>
          </w:p>
        </w:tc>
      </w:tr>
      <w:tr>
        <w:trPr>
          <w:cantSplit/>
        </w:trPr>
        <w:tc>
          <w:tcPr>
            <w:tcW w:type="dxa" w:w="153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会员中心</w:t>
            </w:r>
          </w:p>
        </w:tc>
        <w:tc>
          <w:tcPr>
            <w:tcW w:type="dxa" w:w="45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套餐、续费、权益、积分与收益费率规则</w:t>
            </w:r>
          </w:p>
        </w:tc>
        <w:tc>
          <w:tcPr>
            <w:tcW w:type="dxa" w:w="385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支付链路目前仍需真实地址、链上确认和对账服务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消息订阅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站内、邮件、Telegram、WhatsApp 偏好与强制通知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队列与偏好已具备，外部发送器仍需生产接入</w:t>
            </w:r>
          </w:p>
        </w:tc>
      </w:tr>
      <w:tr>
        <w:trPr>
          <w:cantSplit/>
        </w:trPr>
        <w:tc>
          <w:tcPr>
            <w:tcW w:type="dxa" w:w="153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登录注册</w:t>
            </w:r>
          </w:p>
        </w:tc>
        <w:tc>
          <w:tcPr>
            <w:tcW w:type="dxa" w:w="45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邀请码注册、邀请链接自动填码、手机号必填、账号找回</w:t>
            </w:r>
          </w:p>
        </w:tc>
        <w:tc>
          <w:tcPr>
            <w:tcW w:type="dxa" w:w="385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邀请注册与密码强度可由运维配置控制</w:t>
            </w:r>
          </w:p>
        </w:tc>
      </w:tr>
    </w:tbl>
    <w:p>
      <w:pPr>
        <w:spacing w:after="0"/>
      </w:pPr>
    </w:p>
    <w:p>
      <w:pPr>
        <w:pStyle w:val="Heading1"/>
      </w:pPr>
      <w:r>
        <w:t>04  运营后台功能体系</w:t>
      </w:r>
    </w:p>
    <w:p>
      <w:pPr>
        <w:spacing w:after="160"/>
      </w:pPr>
      <w:r>
        <w:t>运营后台给公司内部人员使用，与运维后台共用数据库，但不拥有系统接口、密钥、安全策略和收款地址的配置权。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438"/>
        <w:gridCol w:w="6009"/>
      </w:tblGrid>
      <w:tr>
        <w:trPr>
          <w:tblHeader w:val="true"/>
        </w:trPr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板块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谁能看到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主要内容与操作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待审批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仅分公司账号</w:t>
            </w:r>
          </w:p>
        </w:tc>
        <w:tc>
          <w:tcPr>
            <w:tcW w:type="dxa" w:w="600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处理本分公司由下级提交的客户归属、转移、结算、调整和组织关系申请；申请人不能审批自己</w:t>
            </w:r>
          </w:p>
        </w:tc>
      </w:tr>
      <w:tr>
        <w:trPr>
          <w:cantSplit/>
        </w:trPr>
        <w:tc>
          <w:tcPr>
            <w:tcW w:type="dxa" w:w="147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运营概览</w:t>
            </w:r>
          </w:p>
        </w:tc>
        <w:tc>
          <w:tcPr>
            <w:tcW w:type="dxa" w:w="243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仅分公司账号</w:t>
            </w:r>
          </w:p>
        </w:tc>
        <w:tc>
          <w:tcPr>
            <w:tcW w:type="dxa" w:w="600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展示分公司范围内业务总览，不放在员工、主管、经理后台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总数据中心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内部运营角色按范围</w:t>
            </w:r>
          </w:p>
        </w:tc>
        <w:tc>
          <w:tcPr>
            <w:tcW w:type="dxa" w:w="600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客户、交易、持仓、盈亏、跟随、账户连接和趋势汇总</w:t>
            </w:r>
          </w:p>
        </w:tc>
      </w:tr>
      <w:tr>
        <w:trPr>
          <w:cantSplit/>
        </w:trPr>
        <w:tc>
          <w:tcPr>
            <w:tcW w:type="dxa" w:w="147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组织成员</w:t>
            </w:r>
          </w:p>
        </w:tc>
        <w:tc>
          <w:tcPr>
            <w:tcW w:type="dxa" w:w="243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员工不显示</w:t>
            </w:r>
          </w:p>
        </w:tc>
        <w:tc>
          <w:tcPr>
            <w:tcW w:type="dxa" w:w="600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总公司建分公司、分公司建经理、经理建主管、主管建员工；关系树逐层查看到用户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客户管理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所有内部角色按范围</w:t>
            </w:r>
          </w:p>
        </w:tc>
        <w:tc>
          <w:tcPr>
            <w:tcW w:type="dxa" w:w="600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搜索筛选、客户 360° 详情、备注、冻结/恢复；高级动作受角色限制</w:t>
            </w:r>
          </w:p>
        </w:tc>
      </w:tr>
      <w:tr>
        <w:trPr>
          <w:cantSplit/>
        </w:trPr>
        <w:tc>
          <w:tcPr>
            <w:tcW w:type="dxa" w:w="147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结算付款</w:t>
            </w:r>
          </w:p>
        </w:tc>
        <w:tc>
          <w:tcPr>
            <w:tcW w:type="dxa" w:w="243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分公司/财务/审核角色接口</w:t>
            </w:r>
          </w:p>
        </w:tc>
        <w:tc>
          <w:tcPr>
            <w:tcW w:type="dxa" w:w="600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结算申请进入审批流程；收款地址不属于运营配置权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收入调整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分公司/财务/审核角色接口</w:t>
            </w:r>
          </w:p>
        </w:tc>
        <w:tc>
          <w:tcPr>
            <w:tcW w:type="dxa" w:w="600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必须关联客户、来源、金额、原因和证据，审批后进入收入账本</w:t>
            </w:r>
          </w:p>
        </w:tc>
      </w:tr>
      <w:tr>
        <w:trPr>
          <w:cantSplit/>
        </w:trPr>
        <w:tc>
          <w:tcPr>
            <w:tcW w:type="dxa" w:w="147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月度分红</w:t>
            </w:r>
          </w:p>
        </w:tc>
        <w:tc>
          <w:tcPr>
            <w:tcW w:type="dxa" w:w="243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分公司、已启用个人代理</w:t>
            </w:r>
          </w:p>
        </w:tc>
        <w:tc>
          <w:tcPr>
            <w:tcW w:type="dxa" w:w="600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仅展示本组织或本人可见的已确认分配与个人代理阶梯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邀请码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总公司、分公司、经理、主管、员工</w:t>
            </w:r>
          </w:p>
        </w:tc>
        <w:tc>
          <w:tcPr>
            <w:tcW w:type="dxa" w:w="600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各级邀请码只邀请直客；创建下一级人员仅在组织成员板块完成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723"/>
      </w:tblGrid>
      <w:tr>
        <w:tc>
          <w:tcPr>
            <w:tcW w:type="dxa" w:w="5018"/>
            <w:shd w:fill="C48A2A"/>
            <w:tcMar>
              <w:top w:w="80" w:type="dxa"/>
              <w:start w:w="40" w:type="dxa"/>
              <w:bottom w:w="80" w:type="dxa"/>
              <w:end w:w="40" w:type="dxa"/>
            </w:tcMar>
          </w:tcPr>
          <w:p/>
        </w:tc>
        <w:tc>
          <w:tcPr>
            <w:tcW w:type="dxa" w:w="5018"/>
            <w:shd w:fill="F5F8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F33"/>
                <w:sz w:val="20"/>
              </w:rPr>
              <w:t>已按要求隐藏</w:t>
            </w:r>
          </w:p>
          <w:p>
            <w:pPr>
              <w:spacing w:before="60"/>
            </w:pPr>
            <w:r>
              <w:rPr>
                <w:rFonts w:ascii="Arial Unicode MS" w:hAnsi="Arial Unicode MS" w:eastAsia="Arial Unicode MS"/>
                <w:b w:val="0"/>
                <w:color w:val="52677A"/>
                <w:sz w:val="18"/>
              </w:rPr>
              <w:t>团队客户任务、月度任务指标、逾期应收款、收款地址和策略跟随权限均不作为当前运营后台常驻板块；其中旧接口/旧组件仍可能保留在代码中，后续可做安全下线。</w:t>
            </w:r>
          </w:p>
        </w:tc>
      </w:tr>
    </w:tbl>
    <w:p>
      <w:pPr>
        <w:spacing w:after="0"/>
      </w:pPr>
    </w:p>
    <w:p>
      <w:pPr>
        <w:pStyle w:val="Heading1"/>
      </w:pPr>
      <w:r>
        <w:t>05  运维后台功能体系</w:t>
      </w:r>
    </w:p>
    <w:p>
      <w:pPr>
        <w:spacing w:after="160"/>
      </w:pPr>
      <w:r>
        <w:t>运维后台以总公司技术部门为目标用户。本次已经把原来的静态说明升级为可读取、可保存、可审计的控制面板，并把策略广场用户上传审核放在第一位。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4309"/>
        <w:gridCol w:w="3572"/>
      </w:tblGrid>
      <w:tr>
        <w:trPr>
          <w:tblHeader w:val="true"/>
        </w:trPr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顺序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板块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现有能力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下一层能力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1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策略审核</w:t>
            </w:r>
          </w:p>
        </w:tc>
        <w:tc>
          <w:tcPr>
            <w:tcW w:type="dxa" w:w="430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用户上传策略待审提醒、双人审核进度、通过/驳回、版本一致性检查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审核 SLA、风险评分、代码沙箱、自动合规预检</w:t>
            </w:r>
          </w:p>
        </w:tc>
      </w:tr>
      <w:tr>
        <w:trPr>
          <w:cantSplit/>
        </w:trPr>
        <w:tc>
          <w:tcPr>
            <w:tcW w:type="dxa" w:w="56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2</w:t>
            </w:r>
          </w:p>
        </w:tc>
        <w:tc>
          <w:tcPr>
            <w:tcW w:type="dxa" w:w="147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系统配置</w:t>
            </w:r>
          </w:p>
        </w:tc>
        <w:tc>
          <w:tcPr>
            <w:tcW w:type="dxa" w:w="430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品牌名、域名、客服、版权、默认语言、启用语言、维护公告、预览</w:t>
            </w:r>
          </w:p>
        </w:tc>
        <w:tc>
          <w:tcPr>
            <w:tcW w:type="dxa" w:w="357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多站点、域名证书状态、翻译版本发布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3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功能开关</w:t>
            </w:r>
          </w:p>
        </w:tc>
        <w:tc>
          <w:tcPr>
            <w:tcW w:type="dxa" w:w="430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行情、新闻、AI、策略、交易、会员、通知、邀请、自动交易、发布通道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全部开关统一服务端拦截、灰度人群、回滚版本</w:t>
            </w:r>
          </w:p>
        </w:tc>
      </w:tr>
      <w:tr>
        <w:trPr>
          <w:cantSplit/>
        </w:trPr>
        <w:tc>
          <w:tcPr>
            <w:tcW w:type="dxa" w:w="56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4</w:t>
            </w:r>
          </w:p>
        </w:tc>
        <w:tc>
          <w:tcPr>
            <w:tcW w:type="dxa" w:w="147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AI 助手运营</w:t>
            </w:r>
          </w:p>
        </w:tc>
        <w:tc>
          <w:tcPr>
            <w:tcW w:type="dxa" w:w="430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系统模型、供应商密钥、自定义端点、连接测试、技能状态</w:t>
            </w:r>
          </w:p>
        </w:tc>
        <w:tc>
          <w:tcPr>
            <w:tcW w:type="dxa" w:w="357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提示词版本库、token 账单、预算与异常告警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5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计费与支付</w:t>
            </w:r>
          </w:p>
        </w:tc>
        <w:tc>
          <w:tcPr>
            <w:tcW w:type="dxa" w:w="430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结算币种、积分、优惠券、退款、结算日、分成规则展示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真实支付通道、退款工单、链上确认、自动对账</w:t>
            </w:r>
          </w:p>
        </w:tc>
      </w:tr>
      <w:tr>
        <w:trPr>
          <w:cantSplit/>
        </w:trPr>
        <w:tc>
          <w:tcPr>
            <w:tcW w:type="dxa" w:w="56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6</w:t>
            </w:r>
          </w:p>
        </w:tc>
        <w:tc>
          <w:tcPr>
            <w:tcW w:type="dxa" w:w="147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权限与角色</w:t>
            </w:r>
          </w:p>
        </w:tc>
        <w:tc>
          <w:tcPr>
            <w:tcW w:type="dxa" w:w="430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五级运营矩阵、职能角色边界、服务端授权说明</w:t>
            </w:r>
          </w:p>
        </w:tc>
        <w:tc>
          <w:tcPr>
            <w:tcW w:type="dxa" w:w="357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独立技术角色、可编辑权限包、临时授权与审批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7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集成管理</w:t>
            </w:r>
          </w:p>
        </w:tc>
        <w:tc>
          <w:tcPr>
            <w:tcW w:type="dxa" w:w="430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默认行情源、RSS、刷新周期、超时、自定义大模型接口、17 类连接器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健康探测、熔断、配额、账单、密钥轮换</w:t>
            </w:r>
          </w:p>
        </w:tc>
      </w:tr>
      <w:tr>
        <w:trPr>
          <w:cantSplit/>
        </w:trPr>
        <w:tc>
          <w:tcPr>
            <w:tcW w:type="dxa" w:w="56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8</w:t>
            </w:r>
          </w:p>
        </w:tc>
        <w:tc>
          <w:tcPr>
            <w:tcW w:type="dxa" w:w="147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系统运维</w:t>
            </w:r>
          </w:p>
        </w:tc>
        <w:tc>
          <w:tcPr>
            <w:tcW w:type="dxa" w:w="430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用户/组织/会话/审批/策略/交易/审计统计、健康接口、最近审计</w:t>
            </w:r>
          </w:p>
        </w:tc>
        <w:tc>
          <w:tcPr>
            <w:tcW w:type="dxa" w:w="357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任务队列、版本发布、备份恢复、回滚、告警中心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9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安全设置</w:t>
            </w:r>
          </w:p>
        </w:tc>
        <w:tc>
          <w:tcPr>
            <w:tcW w:type="dxa" w:w="430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会话数、密码长度、邮箱验证、IP 审计、限流总开关、紧急停单、IP 名单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CIDR、代理 IP 规范化、WAF、MFA、密钥托管</w:t>
            </w:r>
          </w:p>
        </w:tc>
      </w:tr>
    </w:tbl>
    <w:p>
      <w:pPr>
        <w:spacing w:after="0"/>
      </w:pPr>
    </w:p>
    <w:p>
      <w:pPr>
        <w:pStyle w:val="Heading2"/>
      </w:pPr>
      <w:r>
        <w:t>本次运维增强的服务端落点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新增 platform_settings 持久化表、迁移脚本、读写 API 和管理员审计日志。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登录、注册、密码、会话、邮箱验证、IP 名单和平台紧急停止开始读取运维配置。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行情与新闻接口读取默认供应商、RSS、请求超时和刷新周期；默认公共源调整为 Binance。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自动策略周期读取自动交易总开关与紧急停止状态，未开启时不能生成新的自动执行。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运维概览从数据库实时统计，不使用纯静态卡片冒充运行状态。</w:t>
      </w:r>
    </w:p>
    <w:p>
      <w:pPr>
        <w:pStyle w:val="Heading1"/>
      </w:pPr>
      <w:r>
        <w:t>06  角色与数据可见范围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559"/>
        <w:gridCol w:w="1559"/>
        <w:gridCol w:w="1559"/>
        <w:gridCol w:w="1701"/>
        <w:gridCol w:w="1786"/>
      </w:tblGrid>
      <w:tr>
        <w:trPr>
          <w:tblHeader w:val="true"/>
        </w:trPr>
        <w:tc>
          <w:tcPr>
            <w:tcW w:type="dxa" w:w="1673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1673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员工</w:t>
            </w:r>
          </w:p>
        </w:tc>
        <w:tc>
          <w:tcPr>
            <w:tcW w:type="dxa" w:w="1673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主管</w:t>
            </w:r>
          </w:p>
        </w:tc>
        <w:tc>
          <w:tcPr>
            <w:tcW w:type="dxa" w:w="1673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经理</w:t>
            </w:r>
          </w:p>
        </w:tc>
        <w:tc>
          <w:tcPr>
            <w:tcW w:type="dxa" w:w="1673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分公司</w:t>
            </w:r>
          </w:p>
        </w:tc>
        <w:tc>
          <w:tcPr>
            <w:tcW w:type="dxa" w:w="1673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总公司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客户范围</w:t>
            </w:r>
          </w:p>
        </w:tc>
        <w:tc>
          <w:tcPr>
            <w:tcW w:type="dxa" w:w="155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本人直客</w:t>
            </w:r>
          </w:p>
        </w:tc>
        <w:tc>
          <w:tcPr>
            <w:tcW w:type="dxa" w:w="155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本人及直属员工客户</w:t>
            </w:r>
          </w:p>
        </w:tc>
        <w:tc>
          <w:tcPr>
            <w:tcW w:type="dxa" w:w="155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本经理链路客户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全分公司客户</w:t>
            </w:r>
          </w:p>
        </w:tc>
        <w:tc>
          <w:tcPr>
            <w:tcW w:type="dxa" w:w="178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全站客户</w:t>
            </w:r>
          </w:p>
        </w:tc>
      </w:tr>
      <w:tr>
        <w:trPr>
          <w:cantSplit/>
        </w:trPr>
        <w:tc>
          <w:tcPr>
            <w:tcW w:type="dxa" w:w="175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客户查询</w:t>
            </w:r>
          </w:p>
        </w:tc>
        <w:tc>
          <w:tcPr>
            <w:tcW w:type="dxa" w:w="155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查看/搜索</w:t>
            </w:r>
          </w:p>
        </w:tc>
        <w:tc>
          <w:tcPr>
            <w:tcW w:type="dxa" w:w="155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查看/搜索</w:t>
            </w:r>
          </w:p>
        </w:tc>
        <w:tc>
          <w:tcPr>
            <w:tcW w:type="dxa" w:w="155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查看/搜索</w:t>
            </w:r>
          </w:p>
        </w:tc>
        <w:tc>
          <w:tcPr>
            <w:tcW w:type="dxa" w:w="170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查看/搜索/完整管理</w:t>
            </w:r>
          </w:p>
        </w:tc>
        <w:tc>
          <w:tcPr>
            <w:tcW w:type="dxa" w:w="1786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全站查看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冻结/恢复客户</w:t>
            </w:r>
          </w:p>
        </w:tc>
        <w:tc>
          <w:tcPr>
            <w:tcW w:type="dxa" w:w="155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无</w:t>
            </w:r>
          </w:p>
        </w:tc>
        <w:tc>
          <w:tcPr>
            <w:tcW w:type="dxa" w:w="155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权限范围内</w:t>
            </w:r>
          </w:p>
        </w:tc>
        <w:tc>
          <w:tcPr>
            <w:tcW w:type="dxa" w:w="155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权限范围内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权限范围内并可归档</w:t>
            </w:r>
          </w:p>
        </w:tc>
        <w:tc>
          <w:tcPr>
            <w:tcW w:type="dxa" w:w="178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审计/全局治理</w:t>
            </w:r>
          </w:p>
        </w:tc>
      </w:tr>
      <w:tr>
        <w:trPr>
          <w:cantSplit/>
        </w:trPr>
        <w:tc>
          <w:tcPr>
            <w:tcW w:type="dxa" w:w="175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组织成员</w:t>
            </w:r>
          </w:p>
        </w:tc>
        <w:tc>
          <w:tcPr>
            <w:tcW w:type="dxa" w:w="155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不显示</w:t>
            </w:r>
          </w:p>
        </w:tc>
        <w:tc>
          <w:tcPr>
            <w:tcW w:type="dxa" w:w="155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创建员工</w:t>
            </w:r>
          </w:p>
        </w:tc>
        <w:tc>
          <w:tcPr>
            <w:tcW w:type="dxa" w:w="155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创建主管</w:t>
            </w:r>
          </w:p>
        </w:tc>
        <w:tc>
          <w:tcPr>
            <w:tcW w:type="dxa" w:w="170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创建经理</w:t>
            </w:r>
          </w:p>
        </w:tc>
        <w:tc>
          <w:tcPr>
            <w:tcW w:type="dxa" w:w="1786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创建分公司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直客邀请码</w:t>
            </w:r>
          </w:p>
        </w:tc>
        <w:tc>
          <w:tcPr>
            <w:tcW w:type="dxa" w:w="155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可创建</w:t>
            </w:r>
          </w:p>
        </w:tc>
        <w:tc>
          <w:tcPr>
            <w:tcW w:type="dxa" w:w="155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可创建</w:t>
            </w:r>
          </w:p>
        </w:tc>
        <w:tc>
          <w:tcPr>
            <w:tcW w:type="dxa" w:w="155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可创建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可创建</w:t>
            </w:r>
          </w:p>
        </w:tc>
        <w:tc>
          <w:tcPr>
            <w:tcW w:type="dxa" w:w="178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可创建/公共池码</w:t>
            </w:r>
          </w:p>
        </w:tc>
      </w:tr>
      <w:tr>
        <w:trPr>
          <w:cantSplit/>
        </w:trPr>
        <w:tc>
          <w:tcPr>
            <w:tcW w:type="dxa" w:w="175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待审批</w:t>
            </w:r>
          </w:p>
        </w:tc>
        <w:tc>
          <w:tcPr>
            <w:tcW w:type="dxa" w:w="155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提交</w:t>
            </w:r>
          </w:p>
        </w:tc>
        <w:tc>
          <w:tcPr>
            <w:tcW w:type="dxa" w:w="155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提交</w:t>
            </w:r>
          </w:p>
        </w:tc>
        <w:tc>
          <w:tcPr>
            <w:tcW w:type="dxa" w:w="155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提交</w:t>
            </w:r>
          </w:p>
        </w:tc>
        <w:tc>
          <w:tcPr>
            <w:tcW w:type="dxa" w:w="170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最终审核</w:t>
            </w:r>
          </w:p>
        </w:tc>
        <w:tc>
          <w:tcPr>
            <w:tcW w:type="dxa" w:w="1786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策略/全局审计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运营概览</w:t>
            </w:r>
          </w:p>
        </w:tc>
        <w:tc>
          <w:tcPr>
            <w:tcW w:type="dxa" w:w="155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不显示</w:t>
            </w:r>
          </w:p>
        </w:tc>
        <w:tc>
          <w:tcPr>
            <w:tcW w:type="dxa" w:w="155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不显示</w:t>
            </w:r>
          </w:p>
        </w:tc>
        <w:tc>
          <w:tcPr>
            <w:tcW w:type="dxa" w:w="155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不显示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显示</w:t>
            </w:r>
          </w:p>
        </w:tc>
        <w:tc>
          <w:tcPr>
            <w:tcW w:type="dxa" w:w="178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运维统计</w:t>
            </w:r>
          </w:p>
        </w:tc>
      </w:tr>
      <w:tr>
        <w:trPr>
          <w:cantSplit/>
        </w:trPr>
        <w:tc>
          <w:tcPr>
            <w:tcW w:type="dxa" w:w="175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月度分红</w:t>
            </w:r>
          </w:p>
        </w:tc>
        <w:tc>
          <w:tcPr>
            <w:tcW w:type="dxa" w:w="155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仅个人代理</w:t>
            </w:r>
          </w:p>
        </w:tc>
        <w:tc>
          <w:tcPr>
            <w:tcW w:type="dxa" w:w="155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不显示</w:t>
            </w:r>
          </w:p>
        </w:tc>
        <w:tc>
          <w:tcPr>
            <w:tcW w:type="dxa" w:w="155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不显示</w:t>
            </w:r>
          </w:p>
        </w:tc>
        <w:tc>
          <w:tcPr>
            <w:tcW w:type="dxa" w:w="170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显示本分公司</w:t>
            </w:r>
          </w:p>
        </w:tc>
        <w:tc>
          <w:tcPr>
            <w:tcW w:type="dxa" w:w="1786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不在运营端显示</w:t>
            </w:r>
          </w:p>
        </w:tc>
      </w:tr>
    </w:tbl>
    <w:p>
      <w:pPr>
        <w:spacing w:after="0"/>
      </w:pPr>
    </w:p>
    <w:p>
      <w:pPr>
        <w:pStyle w:val="Heading2"/>
      </w:pPr>
      <w:r>
        <w:t>职能角色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628"/>
        <w:gridCol w:w="4025"/>
      </w:tblGrid>
      <w:tr>
        <w:trPr>
          <w:tblHeader w:val="true"/>
        </w:trPr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数据范围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总公司客服 hq_support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全站客户与公共客户池</w:t>
            </w:r>
          </w:p>
        </w:tc>
        <w:tc>
          <w:tcPr>
            <w:tcW w:type="dxa" w:w="402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不能进入技术运维配置，不能查看密钥</w:t>
            </w:r>
          </w:p>
        </w:tc>
      </w:tr>
      <w:tr>
        <w:trPr>
          <w:cantSplit/>
        </w:trPr>
        <w:tc>
          <w:tcPr>
            <w:tcW w:type="dxa" w:w="226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财务 finance</w:t>
            </w:r>
          </w:p>
        </w:tc>
        <w:tc>
          <w:tcPr>
            <w:tcW w:type="dxa" w:w="362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所属分公司账本与结算</w:t>
            </w:r>
          </w:p>
        </w:tc>
        <w:tc>
          <w:tcPr>
            <w:tcW w:type="dxa" w:w="402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不管理组织，不修改系统接口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审核员 auditor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所属分公司审计；总部审核员可参与策略审核</w:t>
            </w:r>
          </w:p>
        </w:tc>
        <w:tc>
          <w:tcPr>
            <w:tcW w:type="dxa" w:w="402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不直接修改资金或执行配置</w:t>
            </w:r>
          </w:p>
        </w:tc>
      </w:tr>
      <w:tr>
        <w:trPr>
          <w:cantSplit/>
        </w:trPr>
        <w:tc>
          <w:tcPr>
            <w:tcW w:type="dxa" w:w="226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客户 customer</w:t>
            </w:r>
          </w:p>
        </w:tc>
        <w:tc>
          <w:tcPr>
            <w:tcW w:type="dxa" w:w="362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仅自身账户、策略、交易与风险状态</w:t>
            </w:r>
          </w:p>
        </w:tc>
        <w:tc>
          <w:tcPr>
            <w:tcW w:type="dxa" w:w="402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不能查看任何组织或他人数据</w:t>
            </w:r>
          </w:p>
        </w:tc>
      </w:tr>
    </w:tbl>
    <w:p>
      <w:pPr>
        <w:spacing w:after="0"/>
      </w:pPr>
    </w:p>
    <w:p>
      <w:pPr>
        <w:pStyle w:val="Heading1"/>
      </w:pPr>
      <w:r>
        <w:t>07  客户 360° 详情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654"/>
      </w:tblGrid>
      <w:tr>
        <w:trPr>
          <w:tblHeader w:val="true"/>
        </w:trPr>
        <w:tc>
          <w:tcPr>
            <w:tcW w:type="dxa" w:w="5018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信息组</w:t>
            </w:r>
          </w:p>
        </w:tc>
        <w:tc>
          <w:tcPr>
            <w:tcW w:type="dxa" w:w="5018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已安排字段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基础与价值</w:t>
            </w:r>
          </w:p>
        </w:tc>
        <w:tc>
          <w:tcPr>
            <w:tcW w:type="dxa" w:w="76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注册时间、状态、VIP 等级、积分余额、累计充值、累计消费</w:t>
            </w:r>
          </w:p>
        </w:tc>
      </w:tr>
      <w:tr>
        <w:trPr>
          <w:cantSplit/>
        </w:trPr>
        <w:tc>
          <w:tcPr>
            <w:tcW w:type="dxa" w:w="226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账号资料</w:t>
            </w:r>
          </w:p>
        </w:tc>
        <w:tc>
          <w:tcPr>
            <w:tcW w:type="dxa" w:w="765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注册 IP、用户名、昵称、手机号、邮箱、Telegram、WhatsApp、语言、时区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登录安全</w:t>
            </w:r>
          </w:p>
        </w:tc>
        <w:tc>
          <w:tcPr>
            <w:tcW w:type="dxa" w:w="76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登录类型、首次/最后登录 IP、最后登录时间、设备、浏览器 / User-Agent</w:t>
            </w:r>
          </w:p>
        </w:tc>
      </w:tr>
      <w:tr>
        <w:trPr>
          <w:cantSplit/>
        </w:trPr>
        <w:tc>
          <w:tcPr>
            <w:tcW w:type="dxa" w:w="226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客户归属</w:t>
            </w:r>
          </w:p>
        </w:tc>
        <w:tc>
          <w:tcPr>
            <w:tcW w:type="dxa" w:w="765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来源、归属状态、生效时间、直客负责人、分公司、经理、主管、员工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组织链路</w:t>
            </w:r>
          </w:p>
        </w:tc>
        <w:tc>
          <w:tcPr>
            <w:tcW w:type="dxa" w:w="76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总公司 → 分公司 → 经理 → 主管 → 员工 → 客户</w:t>
            </w:r>
          </w:p>
        </w:tc>
      </w:tr>
      <w:tr>
        <w:trPr>
          <w:cantSplit/>
        </w:trPr>
        <w:tc>
          <w:tcPr>
            <w:tcW w:type="dxa" w:w="226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券商与资金</w:t>
            </w:r>
          </w:p>
        </w:tc>
        <w:tc>
          <w:tcPr>
            <w:tcW w:type="dxa" w:w="765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券商类型、环境、连接状态、读写权限、提现授权、账户余额/资产结构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交易与风控</w:t>
            </w:r>
          </w:p>
        </w:tc>
        <w:tc>
          <w:tcPr>
            <w:tcW w:type="dxa" w:w="76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订单数、持仓、已实现盈亏、胜率、回撤、手续费、策略跟随</w:t>
            </w:r>
          </w:p>
        </w:tc>
      </w:tr>
      <w:tr>
        <w:trPr>
          <w:cantSplit/>
        </w:trPr>
        <w:tc>
          <w:tcPr>
            <w:tcW w:type="dxa" w:w="226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客户自助停单记录</w:t>
            </w:r>
          </w:p>
        </w:tc>
        <w:tc>
          <w:tcPr>
            <w:tcW w:type="dxa" w:w="765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是否由客户本人点击过停止交易、点击时间与历史记录；运营人员不能代点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723"/>
      </w:tblGrid>
      <w:tr>
        <w:tc>
          <w:tcPr>
            <w:tcW w:type="dxa" w:w="5018"/>
            <w:shd w:fill="187B5B"/>
            <w:tcMar>
              <w:top w:w="80" w:type="dxa"/>
              <w:start w:w="40" w:type="dxa"/>
              <w:bottom w:w="80" w:type="dxa"/>
              <w:end w:w="40" w:type="dxa"/>
            </w:tcMar>
          </w:tcPr>
          <w:p/>
        </w:tc>
        <w:tc>
          <w:tcPr>
            <w:tcW w:type="dxa" w:w="5018"/>
            <w:shd w:fill="F5F8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F33"/>
                <w:sz w:val="20"/>
              </w:rPr>
              <w:t>隐私原则</w:t>
            </w:r>
          </w:p>
          <w:p>
            <w:pPr>
              <w:spacing w:before="60"/>
            </w:pPr>
            <w:r>
              <w:rPr>
                <w:rFonts w:ascii="Arial Unicode MS" w:hAnsi="Arial Unicode MS" w:eastAsia="Arial Unicode MS"/>
                <w:b w:val="0"/>
                <w:color w:val="52677A"/>
                <w:sz w:val="18"/>
              </w:rPr>
              <w:t>客户详情按组织链逐级过滤；邮箱列表可脱敏，详情页在服务端二次校验权限。登录与设备信息属于敏感数据，生产环境应增加查看审计和最小权限。</w:t>
            </w:r>
          </w:p>
        </w:tc>
      </w:tr>
    </w:tbl>
    <w:p>
      <w:pPr>
        <w:spacing w:after="0"/>
      </w:pPr>
    </w:p>
    <w:p>
      <w:pPr>
        <w:pStyle w:val="Heading1"/>
      </w:pPr>
      <w:r>
        <w:t>08  行情、新闻与交易成熟度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304"/>
        <w:gridCol w:w="6293"/>
      </w:tblGrid>
      <w:tr>
        <w:trPr>
          <w:tblHeader w:val="true"/>
        </w:trPr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币安公开行情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本地实测成功</w:t>
            </w:r>
          </w:p>
        </w:tc>
        <w:tc>
          <w:tcPr>
            <w:tcW w:type="dxa" w:w="62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BTC 报价与 K 线返回实时公开数据；默认源已调整为 Binance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Coinbase 公开行情</w:t>
            </w:r>
          </w:p>
        </w:tc>
        <w:tc>
          <w:tcPr>
            <w:tcW w:type="dxa" w:w="130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本地超时</w:t>
            </w:r>
          </w:p>
        </w:tc>
        <w:tc>
          <w:tcPr>
            <w:tcW w:type="dxa" w:w="6293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当前网络下多次 503，应只作为可选源并增加自动熔断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K 线交互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已具备</w:t>
            </w:r>
          </w:p>
        </w:tc>
        <w:tc>
          <w:tcPr>
            <w:tcW w:type="dxa" w:w="62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支持周期切换、缩放、左右拖动、历史回看、实时成交更新与 REST 回补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新闻 RSS</w:t>
            </w:r>
          </w:p>
        </w:tc>
        <w:tc>
          <w:tcPr>
            <w:tcW w:type="dxa" w:w="130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本地实测成功</w:t>
            </w:r>
          </w:p>
        </w:tc>
        <w:tc>
          <w:tcPr>
            <w:tcW w:type="dxa" w:w="6293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Cointelegraph 等 RSS 可返回最新新闻；刷新周期由运维配置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亚洲股票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尚未完成</w:t>
            </w:r>
          </w:p>
        </w:tc>
        <w:tc>
          <w:tcPr>
            <w:tcW w:type="dxa" w:w="62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韩国、日本、香港、中国实时股票和 K 线需要合规数据供应商与交易所授权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真实交易执行</w:t>
            </w:r>
          </w:p>
        </w:tc>
        <w:tc>
          <w:tcPr>
            <w:tcW w:type="dxa" w:w="130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默认关闭</w:t>
            </w:r>
          </w:p>
        </w:tc>
        <w:tc>
          <w:tcPr>
            <w:tcW w:type="dxa" w:w="6293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当前平台 AI 周期与交易中心不等于生产实盘路由；上线前必须完成沙箱与风控验收</w:t>
            </w:r>
          </w:p>
        </w:tc>
      </w:tr>
    </w:tbl>
    <w:p>
      <w:pPr>
        <w:spacing w:after="0"/>
      </w:pPr>
    </w:p>
    <w:p>
      <w:pPr>
        <w:pStyle w:val="Heading2"/>
      </w:pPr>
      <w:r>
        <w:t>关于“0.1 秒刷新”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WebSocket 成交推送可接近实时，但不应固定每 0.1 秒重复请求 REST 接口，否则会触发限频、增加成本并造成假实时。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正确做法是：WebSocket 接收逐笔成交并更新当前蜡烛，REST 按 15–60 秒或断线时回补，服务端缓存并统一时间戳。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价格标准需同时明确交易所、交易对、计价币、时区、K 线边界和聚合规则；不同供应商价格不可能完全一致。</w:t>
      </w:r>
    </w:p>
    <w:p>
      <w:pPr>
        <w:pStyle w:val="Heading1"/>
      </w:pPr>
      <w:r>
        <w:t>09  奖励分成规则</w:t>
      </w:r>
    </w:p>
    <w:p>
      <w:pPr>
        <w:spacing w:after="160"/>
      </w:pPr>
      <w:r>
        <w:t>以下为当前服务端业务规则。所有金额均应以“确认到账/确认收入事件”为前提，未确认、失败、撤销不产生可分配收益。</w:t>
      </w:r>
    </w:p>
    <w:p>
      <w:pPr>
        <w:pStyle w:val="Heading2"/>
      </w:pPr>
      <w:r>
        <w:t>9.1 会员充值 / 会员收入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723"/>
      </w:tblGrid>
      <w:tr>
        <w:tc>
          <w:tcPr>
            <w:tcW w:type="dxa" w:w="5018"/>
            <w:shd w:fill="1565C0"/>
            <w:tcMar>
              <w:top w:w="80" w:type="dxa"/>
              <w:start w:w="40" w:type="dxa"/>
              <w:bottom w:w="80" w:type="dxa"/>
              <w:end w:w="40" w:type="dxa"/>
            </w:tcMar>
          </w:tcPr>
          <w:p/>
        </w:tc>
        <w:tc>
          <w:tcPr>
            <w:tcW w:type="dxa" w:w="5018"/>
            <w:shd w:fill="F5F8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F33"/>
                <w:sz w:val="20"/>
              </w:rPr>
              <w:t>公式</w:t>
            </w:r>
          </w:p>
          <w:p>
            <w:pPr>
              <w:spacing w:before="60"/>
            </w:pPr>
            <w:r>
              <w:rPr>
                <w:rFonts w:ascii="Arial Unicode MS" w:hAnsi="Arial Unicode MS" w:eastAsia="Arial Unicode MS"/>
                <w:b w:val="0"/>
                <w:color w:val="52677A"/>
                <w:sz w:val="18"/>
              </w:rPr>
              <w:t>有有效归属时：总公司最终 60%，分公司最终 40%。计算过程为：先将毛收入的 50%留在总公司作为运营成本；剩余 50%网站可分配收益再按总公司 20%、分公司 80%分配。无有效客户归属时，100%归总公司。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984"/>
        <w:gridCol w:w="1984"/>
        <w:gridCol w:w="2098"/>
        <w:gridCol w:w="2268"/>
      </w:tblGrid>
      <w:tr>
        <w:trPr>
          <w:tblHeader w:val="true"/>
        </w:trPr>
        <w:tc>
          <w:tcPr>
            <w:tcW w:type="dxa" w:w="2007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毛收入示例</w:t>
            </w:r>
          </w:p>
        </w:tc>
        <w:tc>
          <w:tcPr>
            <w:tcW w:type="dxa" w:w="2007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运营成本（总部）</w:t>
            </w:r>
          </w:p>
        </w:tc>
        <w:tc>
          <w:tcPr>
            <w:tcW w:type="dxa" w:w="2007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网站收益总部 20%</w:t>
            </w:r>
          </w:p>
        </w:tc>
        <w:tc>
          <w:tcPr>
            <w:tcW w:type="dxa" w:w="2007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网站收益分公司 80%</w:t>
            </w:r>
          </w:p>
        </w:tc>
        <w:tc>
          <w:tcPr>
            <w:tcW w:type="dxa" w:w="2007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最终结果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100 USDT</w:t>
            </w:r>
          </w:p>
        </w:tc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50 USDT</w:t>
            </w:r>
          </w:p>
        </w:tc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10 USDT</w:t>
            </w:r>
          </w:p>
        </w:tc>
        <w:tc>
          <w:tcPr>
            <w:tcW w:type="dxa" w:w="209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40 USDT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总部 60 / 分公司 40</w:t>
            </w:r>
          </w:p>
        </w:tc>
      </w:tr>
      <w:tr>
        <w:trPr>
          <w:cantSplit/>
        </w:trPr>
        <w:tc>
          <w:tcPr>
            <w:tcW w:type="dxa" w:w="158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1,000 USDT</w:t>
            </w:r>
          </w:p>
        </w:tc>
        <w:tc>
          <w:tcPr>
            <w:tcW w:type="dxa" w:w="198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500 USDT</w:t>
            </w:r>
          </w:p>
        </w:tc>
        <w:tc>
          <w:tcPr>
            <w:tcW w:type="dxa" w:w="198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100 USDT</w:t>
            </w:r>
          </w:p>
        </w:tc>
        <w:tc>
          <w:tcPr>
            <w:tcW w:type="dxa" w:w="209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400 USDT</w:t>
            </w:r>
          </w:p>
        </w:tc>
        <w:tc>
          <w:tcPr>
            <w:tcW w:type="dxa" w:w="226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总部 600 / 分公司 400</w:t>
            </w:r>
          </w:p>
        </w:tc>
      </w:tr>
    </w:tbl>
    <w:p>
      <w:pPr>
        <w:spacing w:after="0"/>
      </w:pPr>
    </w:p>
    <w:p>
      <w:pPr>
        <w:pStyle w:val="Heading2"/>
      </w:pPr>
      <w:r>
        <w:t>9.2 总公司部门内部比例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494"/>
        <w:gridCol w:w="5046"/>
      </w:tblGrid>
      <w:tr>
        <w:trPr>
          <w:tblHeader w:val="true"/>
        </w:trPr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部门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占网站可分配收益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技术部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2.5%</w:t>
            </w:r>
          </w:p>
        </w:tc>
        <w:tc>
          <w:tcPr>
            <w:tcW w:type="dxa" w:w="504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属于总公司网站收益内部口径</w:t>
            </w:r>
          </w:p>
        </w:tc>
      </w:tr>
      <w:tr>
        <w:trPr>
          <w:cantSplit/>
        </w:trPr>
        <w:tc>
          <w:tcPr>
            <w:tcW w:type="dxa" w:w="238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招商部</w:t>
            </w:r>
          </w:p>
        </w:tc>
        <w:tc>
          <w:tcPr>
            <w:tcW w:type="dxa" w:w="249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2.5%</w:t>
            </w:r>
          </w:p>
        </w:tc>
        <w:tc>
          <w:tcPr>
            <w:tcW w:type="dxa" w:w="5046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属于总公司网站收益内部口径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运营部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15%</w:t>
            </w:r>
          </w:p>
        </w:tc>
        <w:tc>
          <w:tcPr>
            <w:tcW w:type="dxa" w:w="504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属于总公司网站收益内部口径</w:t>
            </w:r>
          </w:p>
        </w:tc>
      </w:tr>
      <w:tr>
        <w:trPr>
          <w:cantSplit/>
        </w:trPr>
        <w:tc>
          <w:tcPr>
            <w:tcW w:type="dxa" w:w="238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合计</w:t>
            </w:r>
          </w:p>
        </w:tc>
        <w:tc>
          <w:tcPr>
            <w:tcW w:type="dxa" w:w="249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20%</w:t>
            </w:r>
          </w:p>
        </w:tc>
        <w:tc>
          <w:tcPr>
            <w:tcW w:type="dxa" w:w="5046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等于网站可分配收益中的总公司份额</w:t>
            </w:r>
          </w:p>
        </w:tc>
      </w:tr>
    </w:tbl>
    <w:p>
      <w:pPr>
        <w:spacing w:after="0"/>
      </w:pPr>
    </w:p>
    <w:p>
      <w:pPr>
        <w:pStyle w:val="Heading2"/>
      </w:pPr>
      <w:r>
        <w:t>9.3 每周盈利分成费率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814"/>
        <w:gridCol w:w="5272"/>
      </w:tblGrid>
      <w:tr>
        <w:trPr>
          <w:tblHeader w:val="true"/>
        </w:trPr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会员周期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费率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计费基数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月度 / 普通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20%</w:t>
            </w:r>
          </w:p>
        </w:tc>
        <w:tc>
          <w:tcPr>
            <w:tcW w:type="dxa" w:w="52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当周正的已实现净利润</w:t>
            </w:r>
          </w:p>
        </w:tc>
      </w:tr>
      <w:tr>
        <w:trPr>
          <w:cantSplit/>
        </w:trPr>
        <w:tc>
          <w:tcPr>
            <w:tcW w:type="dxa" w:w="28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季度</w:t>
            </w:r>
          </w:p>
        </w:tc>
        <w:tc>
          <w:tcPr>
            <w:tcW w:type="dxa" w:w="181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19%</w:t>
            </w:r>
          </w:p>
        </w:tc>
        <w:tc>
          <w:tcPr>
            <w:tcW w:type="dxa" w:w="527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当周正的已实现净利润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年度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18%</w:t>
            </w:r>
          </w:p>
        </w:tc>
        <w:tc>
          <w:tcPr>
            <w:tcW w:type="dxa" w:w="52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当周正的已实现净利润</w:t>
            </w:r>
          </w:p>
        </w:tc>
      </w:tr>
      <w:tr>
        <w:trPr>
          <w:cantSplit/>
        </w:trPr>
        <w:tc>
          <w:tcPr>
            <w:tcW w:type="dxa" w:w="28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终身</w:t>
            </w:r>
          </w:p>
        </w:tc>
        <w:tc>
          <w:tcPr>
            <w:tcW w:type="dxa" w:w="181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16%</w:t>
            </w:r>
          </w:p>
        </w:tc>
        <w:tc>
          <w:tcPr>
            <w:tcW w:type="dxa" w:w="527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当周正的已实现净利润</w:t>
            </w:r>
          </w:p>
        </w:tc>
      </w:tr>
    </w:tbl>
    <w:p>
      <w:pPr>
        <w:spacing w:after="0"/>
      </w:pPr>
    </w:p>
    <w:p>
      <w:r>
        <w:t>亏损周不收取盈利分成，当前规则不设置亏损结转或高水位追补。</w:t>
      </w:r>
    </w:p>
    <w:p>
      <w:pPr>
        <w:pStyle w:val="Heading2"/>
      </w:pPr>
      <w:r>
        <w:t>9.4 个人代理月度阶梯（每月清零）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4535"/>
      </w:tblGrid>
      <w:tr>
        <w:trPr>
          <w:tblHeader w:val="true"/>
        </w:trPr>
        <w:tc>
          <w:tcPr>
            <w:tcW w:type="dxa" w:w="5018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当月业绩 USDT</w:t>
            </w:r>
          </w:p>
        </w:tc>
        <w:tc>
          <w:tcPr>
            <w:tcW w:type="dxa" w:w="5018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分成比例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&lt; 1,000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386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1,000–4,999.99</w:t>
            </w:r>
          </w:p>
        </w:tc>
        <w:tc>
          <w:tcPr>
            <w:tcW w:type="dxa" w:w="45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5,000–9,999.99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5386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10,000–19,999.99</w:t>
            </w:r>
          </w:p>
        </w:tc>
        <w:tc>
          <w:tcPr>
            <w:tcW w:type="dxa" w:w="45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35%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20,000–49,999.99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40%</w:t>
            </w:r>
          </w:p>
        </w:tc>
      </w:tr>
      <w:tr>
        <w:trPr>
          <w:cantSplit/>
        </w:trPr>
        <w:tc>
          <w:tcPr>
            <w:tcW w:type="dxa" w:w="5386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≥ 50,000</w:t>
            </w:r>
          </w:p>
        </w:tc>
        <w:tc>
          <w:tcPr>
            <w:tcW w:type="dxa" w:w="45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50%</w:t>
            </w:r>
          </w:p>
        </w:tc>
      </w:tr>
    </w:tbl>
    <w:p>
      <w:pPr>
        <w:spacing w:after="0"/>
      </w:pPr>
    </w:p>
    <w:p>
      <w:pPr>
        <w:pStyle w:val="Heading2"/>
      </w:pPr>
      <w:r>
        <w:t>9.5 策略广场分成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已确认收款的策略费用：平台 50%，策略作者 50%。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有有效客户归属时，平台获得的 50%再按总部 20% / 分公司 80%分配；折算总策略费为总部 10%、分公司 40%、作者 50%。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无有效归属时，平台的 50%归总公司；作者仍为 50%。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用户自建自用策略：平台不收分成，收益归用户本人；未确认、失败、撤销均不产生分配。</w:t>
      </w:r>
    </w:p>
    <w:p>
      <w:pPr>
        <w:pStyle w:val="Heading1"/>
      </w:pPr>
      <w:r>
        <w:t>10  核心亮点与竞争优势</w:t>
      </w:r>
    </w:p>
    <w:p>
      <w:pPr>
        <w:pStyle w:val="ListNumber"/>
        <w:spacing w:after="80"/>
        <w:ind w:left="312" w:hanging="142"/>
      </w:pPr>
      <w:r>
        <w:rPr>
          <w:rFonts w:ascii="Arial Unicode MS" w:hAnsi="Arial Unicode MS" w:eastAsia="Arial Unicode MS"/>
          <w:b w:val="0"/>
          <w:color w:val="152233"/>
          <w:sz w:val="19"/>
        </w:rPr>
        <w:t>权限不是简单的角色菜单，而是角色 + 组织归属链 + 接口二次校验三层控制。</w:t>
      </w:r>
    </w:p>
    <w:p>
      <w:pPr>
        <w:pStyle w:val="ListNumber"/>
        <w:spacing w:after="80"/>
        <w:ind w:left="312" w:hanging="142"/>
      </w:pPr>
      <w:r>
        <w:rPr>
          <w:rFonts w:ascii="Arial Unicode MS" w:hAnsi="Arial Unicode MS" w:eastAsia="Arial Unicode MS"/>
          <w:b w:val="0"/>
          <w:color w:val="152233"/>
          <w:sz w:val="19"/>
        </w:rPr>
        <w:t>运营后台与运维后台共用数据但职责分离，避免业务人员接触密钥、系统开关和安全策略。</w:t>
      </w:r>
    </w:p>
    <w:p>
      <w:pPr>
        <w:pStyle w:val="ListNumber"/>
        <w:spacing w:after="80"/>
        <w:ind w:left="312" w:hanging="142"/>
      </w:pPr>
      <w:r>
        <w:rPr>
          <w:rFonts w:ascii="Arial Unicode MS" w:hAnsi="Arial Unicode MS" w:eastAsia="Arial Unicode MS"/>
          <w:b w:val="0"/>
          <w:color w:val="152233"/>
          <w:sz w:val="19"/>
        </w:rPr>
        <w:t>用户策略从创建、回测、提交到总部双人审核形成闭环，适合治理策略市场。</w:t>
      </w:r>
    </w:p>
    <w:p>
      <w:pPr>
        <w:pStyle w:val="ListNumber"/>
        <w:spacing w:after="80"/>
        <w:ind w:left="312" w:hanging="142"/>
      </w:pPr>
      <w:r>
        <w:rPr>
          <w:rFonts w:ascii="Arial Unicode MS" w:hAnsi="Arial Unicode MS" w:eastAsia="Arial Unicode MS"/>
          <w:b w:val="0"/>
          <w:color w:val="152233"/>
          <w:sz w:val="19"/>
        </w:rPr>
        <w:t>AI 模型支持平台统一配置和用户自带兼容端点，便于成本分层与供应商替换。</w:t>
      </w:r>
    </w:p>
    <w:p>
      <w:pPr>
        <w:pStyle w:val="ListNumber"/>
        <w:spacing w:after="80"/>
        <w:ind w:left="312" w:hanging="142"/>
      </w:pPr>
      <w:r>
        <w:rPr>
          <w:rFonts w:ascii="Arial Unicode MS" w:hAnsi="Arial Unicode MS" w:eastAsia="Arial Unicode MS"/>
          <w:b w:val="0"/>
          <w:color w:val="152233"/>
          <w:sz w:val="19"/>
        </w:rPr>
        <w:t>行情、新闻、交易账户、策略、会员、通知和组织运营在同一客户视图中汇总，减少跨系统割裂。</w:t>
      </w:r>
    </w:p>
    <w:p>
      <w:pPr>
        <w:pStyle w:val="ListNumber"/>
        <w:spacing w:after="80"/>
        <w:ind w:left="312" w:hanging="142"/>
      </w:pPr>
      <w:r>
        <w:rPr>
          <w:rFonts w:ascii="Arial Unicode MS" w:hAnsi="Arial Unicode MS" w:eastAsia="Arial Unicode MS"/>
          <w:b w:val="0"/>
          <w:color w:val="152233"/>
          <w:sz w:val="19"/>
        </w:rPr>
        <w:t>收入分成通过事件与分配账本记录，可按组织、代理和策略作者追溯。</w:t>
      </w:r>
    </w:p>
    <w:p>
      <w:pPr>
        <w:pStyle w:val="ListNumber"/>
        <w:spacing w:after="80"/>
        <w:ind w:left="312" w:hanging="142"/>
      </w:pPr>
      <w:r>
        <w:rPr>
          <w:rFonts w:ascii="Arial Unicode MS" w:hAnsi="Arial Unicode MS" w:eastAsia="Arial Unicode MS"/>
          <w:b w:val="0"/>
          <w:color w:val="152233"/>
          <w:sz w:val="19"/>
        </w:rPr>
        <w:t>平台紧急停止、客户自助停单、审计日志和强制通知形成基础安全闭环。</w:t>
      </w:r>
    </w:p>
    <w:p>
      <w:pPr>
        <w:pStyle w:val="Heading1"/>
      </w:pPr>
      <w:r>
        <w:t>11  本地验收结果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304"/>
        <w:gridCol w:w="6293"/>
      </w:tblGrid>
      <w:tr>
        <w:trPr>
          <w:tblHeader w:val="true"/>
        </w:trPr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npm test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通过</w:t>
            </w:r>
          </w:p>
        </w:tc>
        <w:tc>
          <w:tcPr>
            <w:tcW w:type="dxa" w:w="62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完整构建通过，2/2 页面渲染测试通过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目标变更 ESLint</w:t>
            </w:r>
          </w:p>
        </w:tc>
        <w:tc>
          <w:tcPr>
            <w:tcW w:type="dxa" w:w="130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通过</w:t>
            </w:r>
          </w:p>
        </w:tc>
        <w:tc>
          <w:tcPr>
            <w:tcW w:type="dxa" w:w="6293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本次新增/修改的运维、市场源、月度分红与审批文件单独检查为 0 错误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全仓库 ESLint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未全绿</w:t>
            </w:r>
          </w:p>
        </w:tc>
        <w:tc>
          <w:tcPr>
            <w:tcW w:type="dxa" w:w="62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旧模块仍有 84 个错误与 10 个告警，已列入改进路线图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后台入口</w:t>
            </w:r>
          </w:p>
        </w:tc>
        <w:tc>
          <w:tcPr>
            <w:tcW w:type="dxa" w:w="130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通过</w:t>
            </w:r>
          </w:p>
        </w:tc>
        <w:tc>
          <w:tcPr>
            <w:tcW w:type="dxa" w:w="6293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总公司超级管理员进入后先显示运营/运维两个大卡片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运维菜单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通过</w:t>
            </w:r>
          </w:p>
        </w:tc>
        <w:tc>
          <w:tcPr>
            <w:tcW w:type="dxa" w:w="62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策略审核第一，9 个板块可访问；页面切换自动回顶部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响应式</w:t>
            </w:r>
          </w:p>
        </w:tc>
        <w:tc>
          <w:tcPr>
            <w:tcW w:type="dxa" w:w="130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通过</w:t>
            </w:r>
          </w:p>
        </w:tc>
        <w:tc>
          <w:tcPr>
            <w:tcW w:type="dxa" w:w="6293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1189px 浏览器宽度下无横向溢出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行情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部分通过</w:t>
            </w:r>
          </w:p>
        </w:tc>
        <w:tc>
          <w:tcPr>
            <w:tcW w:type="dxa" w:w="629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Binance 报价/K 线成功；Coinbase 在当前网络超时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7"/>
              </w:rPr>
              <w:t>新闻</w:t>
            </w:r>
          </w:p>
        </w:tc>
        <w:tc>
          <w:tcPr>
            <w:tcW w:type="dxa" w:w="130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通过</w:t>
            </w:r>
          </w:p>
        </w:tc>
        <w:tc>
          <w:tcPr>
            <w:tcW w:type="dxa" w:w="6293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7"/>
              </w:rPr>
              <w:t>RSS 最新新闻成功显示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723"/>
      </w:tblGrid>
      <w:tr>
        <w:tc>
          <w:tcPr>
            <w:tcW w:type="dxa" w:w="5018"/>
            <w:shd w:fill="C48A2A"/>
            <w:tcMar>
              <w:top w:w="80" w:type="dxa"/>
              <w:start w:w="40" w:type="dxa"/>
              <w:bottom w:w="80" w:type="dxa"/>
              <w:end w:w="40" w:type="dxa"/>
            </w:tcMar>
          </w:tcPr>
          <w:p/>
        </w:tc>
        <w:tc>
          <w:tcPr>
            <w:tcW w:type="dxa" w:w="5018"/>
            <w:shd w:fill="F5F8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F33"/>
                <w:sz w:val="20"/>
              </w:rPr>
              <w:t>发布状态</w:t>
            </w:r>
          </w:p>
          <w:p>
            <w:pPr>
              <w:spacing w:before="60"/>
            </w:pPr>
            <w:r>
              <w:rPr>
                <w:rFonts w:ascii="Arial Unicode MS" w:hAnsi="Arial Unicode MS" w:eastAsia="Arial Unicode MS"/>
                <w:b w:val="0"/>
                <w:color w:val="52677A"/>
                <w:sz w:val="18"/>
              </w:rPr>
              <w:t>本次只修改和测试本地 WOX；没有推送 GitHub，没有上传 Cloudflare，也没有部署到 www.tzxsea.com。</w:t>
            </w:r>
          </w:p>
        </w:tc>
      </w:tr>
    </w:tbl>
    <w:p>
      <w:pPr>
        <w:spacing w:after="0"/>
      </w:pPr>
    </w:p>
    <w:p>
      <w:pPr>
        <w:pStyle w:val="Heading1"/>
      </w:pPr>
      <w:r>
        <w:t>A  系统规模附录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87"/>
      </w:tblGrid>
      <w:tr>
        <w:trPr>
          <w:tblHeader w:val="true"/>
        </w:trPr>
        <w:tc>
          <w:tcPr>
            <w:tcW w:type="dxa" w:w="5018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018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数量 / 说明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API 路由</w:t>
            </w:r>
          </w:p>
        </w:tc>
        <w:tc>
          <w:tcPr>
            <w:tcW w:type="dxa" w:w="708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82 个 route.ts</w:t>
            </w:r>
          </w:p>
        </w:tc>
      </w:tr>
      <w:tr>
        <w:trPr>
          <w:cantSplit/>
        </w:trPr>
        <w:tc>
          <w:tcPr>
            <w:tcW w:type="dxa" w:w="28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数据库表</w:t>
            </w:r>
          </w:p>
        </w:tc>
        <w:tc>
          <w:tcPr>
            <w:tcW w:type="dxa" w:w="708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39 个 sqliteTable 定义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本地产品图标</w:t>
            </w:r>
          </w:p>
        </w:tc>
        <w:tc>
          <w:tcPr>
            <w:tcW w:type="dxa" w:w="708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1,907 个构建时生成图标</w:t>
            </w:r>
          </w:p>
        </w:tc>
      </w:tr>
      <w:tr>
        <w:trPr>
          <w:cantSplit/>
        </w:trPr>
        <w:tc>
          <w:tcPr>
            <w:tcW w:type="dxa" w:w="28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核心角色</w:t>
            </w:r>
          </w:p>
        </w:tc>
        <w:tc>
          <w:tcPr>
            <w:tcW w:type="dxa" w:w="708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9 类：hq_admin、hq_support、branch_admin、manager、supervisor、employee、customer、finance、auditor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主要语言</w:t>
            </w:r>
          </w:p>
        </w:tc>
        <w:tc>
          <w:tcPr>
            <w:tcW w:type="dxa" w:w="708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简体中文、繁体中文、英语、日语、韩语、西班牙语、俄语</w:t>
            </w:r>
          </w:p>
        </w:tc>
      </w:tr>
      <w:tr>
        <w:trPr>
          <w:cantSplit/>
        </w:trPr>
        <w:tc>
          <w:tcPr>
            <w:tcW w:type="dxa" w:w="283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本次新增持久配置</w:t>
            </w:r>
          </w:p>
        </w:tc>
        <w:tc>
          <w:tcPr>
            <w:tcW w:type="dxa" w:w="708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系统、功能、计费、集成、安全 5 个设置域</w:t>
            </w:r>
          </w:p>
        </w:tc>
      </w:tr>
    </w:tbl>
    <w:p>
      <w:pPr>
        <w:spacing w:after="0"/>
      </w:pPr>
    </w:p>
    <w:p>
      <w:r>
        <w:t>文档结束。有关风险、差距、优先级和后续执行计划，请参阅单独的《AgentNovas 改进事项与下一阶段路线图》。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35" w:header="408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内部工作文档  ·  2026-08-19  ·  </w:t>
    </w: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 Unicode MS" w:hAnsi="Arial Unicode MS" w:eastAsia="Arial Unicode MS"/>
        <w:b/>
        <w:color w:val="16B8D4"/>
        <w:sz w:val="16"/>
      </w:rPr>
      <w:t>AGENTNOVAS  ·  WOX LOCAL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color w:val="15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565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522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AgentNovas 网站功能与后台体系说明书</dc:title>
  <dc:subject>网站功能、后台体系、权限范围与奖励分成说明</dc:subject>
  <dc:creator>AgentNovas / Codex</dc:creator>
  <cp:keywords>AgentNovas, WOX, 运营后台, 运维后台, 权限, 分成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