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References and Source Notes</w:t>
      </w:r>
    </w:p>
    <w:p>
      <w:pPr>
        <w:pStyle w:val="Author"/>
      </w:pPr>
      <w:r>
        <w:t xml:space="preserve">Jaspal Singh</w:t>
      </w:r>
    </w:p>
    <w:bookmarkStart w:id="24" w:name="research-references-and-source-notes"/>
    <w:bookmarkStart w:id="20" w:name="scope"/>
    <w:p>
      <w:pPr>
        <w:pStyle w:val="Heading2"/>
      </w:pPr>
      <w:r>
        <w:t xml:space="preserve">Scope</w:t>
      </w:r>
    </w:p>
    <w:p>
      <w:pPr>
        <w:pStyle w:val="FirstParagraph"/>
      </w:pPr>
      <w:r>
        <w:t xml:space="preserve">The book draws selectively on Buddhist texts preserved in the Pali Canon and public health and research sources concerning mindfulness, meditation, and repetitive negative thinking. Buddhist textual discussion is identified by source. Health statements are deliberately limited and do not imply that a self-help book or meditation practice treats a disorder.</w:t>
      </w:r>
    </w:p>
    <w:p>
      <w:pPr>
        <w:pStyle w:val="BodyText"/>
      </w:pPr>
      <w:r>
        <w:t xml:space="preserve">Access date for online sources: October 28, 2026.</w:t>
      </w:r>
    </w:p>
    <w:bookmarkEnd w:id="20"/>
    <w:bookmarkStart w:id="21" w:name="buddhist-primary-texts-and-traditions"/>
    <w:p>
      <w:pPr>
        <w:pStyle w:val="Heading2"/>
      </w:pPr>
      <w:r>
        <w:t xml:space="preserve">Buddhist primary texts and traditions</w:t>
      </w:r>
    </w:p>
    <w:p>
      <w:pPr>
        <w:numPr>
          <w:ilvl w:val="0"/>
          <w:numId w:val="1001"/>
        </w:numPr>
        <w:pStyle w:val="Compact"/>
      </w:pPr>
      <w:r>
        <w:rPr>
          <w:bCs/>
          <w:b/>
        </w:rPr>
        <w:t xml:space="preserve">Bhikkhu Sujato, translator,</w:t>
      </w:r>
      <w:r>
        <w:rPr>
          <w:bCs/>
          <w:b/>
        </w:rPr>
        <w:t xml:space="preserve"> </w:t>
      </w:r>
      <w:r>
        <w:rPr>
          <w:bCs/>
          <w:b/>
        </w:rPr>
        <w:t xml:space="preserve">“</w:t>
      </w:r>
      <w:r>
        <w:rPr>
          <w:bCs/>
          <w:b/>
        </w:rPr>
        <w:t xml:space="preserve">Sallasutta: An Arrow,</w:t>
      </w:r>
      <w:r>
        <w:rPr>
          <w:bCs/>
          <w:b/>
        </w:rPr>
        <w:t xml:space="preserve">”</w:t>
      </w:r>
      <w:r>
        <w:rPr>
          <w:bCs/>
          <w:b/>
        </w:rPr>
        <w:t xml:space="preserve"> </w:t>
      </w:r>
      <w:r>
        <w:rPr>
          <w:bCs/>
          <w:b/>
        </w:rPr>
        <w:t xml:space="preserve">Saṃyutta Nikāya 36.6, SuttaCentral.</w:t>
      </w:r>
      <w:r>
        <w:t xml:space="preserve"> </w:t>
      </w:r>
      <w:r>
        <w:t xml:space="preserve">Used for the discussion of the discourse often called</w:t>
      </w:r>
      <w:r>
        <w:t xml:space="preserve"> </w:t>
      </w:r>
      <w:r>
        <w:t xml:space="preserve">“</w:t>
      </w:r>
      <w:r>
        <w:t xml:space="preserve">The Arrow</w:t>
      </w:r>
      <w:r>
        <w:t xml:space="preserve">”</w:t>
      </w:r>
      <w:r>
        <w:t xml:space="preserve"> </w:t>
      </w:r>
      <w:r>
        <w:t xml:space="preserve">or</w:t>
      </w:r>
      <w:r>
        <w:t xml:space="preserve"> </w:t>
      </w:r>
      <w:r>
        <w:t xml:space="preserve">“</w:t>
      </w:r>
      <w:r>
        <w:t xml:space="preserve">The Dart.</w:t>
      </w:r>
      <w:r>
        <w:t xml:space="preserve">”</w:t>
      </w:r>
      <w:r>
        <w:t xml:space="preserve"> </w:t>
      </w:r>
      <w:r>
        <w:t xml:space="preserve">The book paraphrases and contextualizes the teaching rather than reproducing extended translation text. https://suttacentral.net/SN36.6/en/sujato</w:t>
      </w:r>
    </w:p>
    <w:p>
      <w:pPr>
        <w:numPr>
          <w:ilvl w:val="0"/>
          <w:numId w:val="1001"/>
        </w:numPr>
        <w:pStyle w:val="Compact"/>
      </w:pPr>
      <w:r>
        <w:rPr>
          <w:bCs/>
          <w:b/>
        </w:rPr>
        <w:t xml:space="preserve">Bhikkhu Sujato, translator,</w:t>
      </w:r>
      <w:r>
        <w:rPr>
          <w:bCs/>
          <w:b/>
        </w:rPr>
        <w:t xml:space="preserve"> </w:t>
      </w:r>
      <w:r>
        <w:rPr>
          <w:bCs/>
          <w:b/>
        </w:rPr>
        <w:t xml:space="preserve">“</w:t>
      </w:r>
      <w:r>
        <w:rPr>
          <w:bCs/>
          <w:b/>
        </w:rPr>
        <w:t xml:space="preserve">Satipaṭṭhānasutta,</w:t>
      </w:r>
      <w:r>
        <w:rPr>
          <w:bCs/>
          <w:b/>
        </w:rPr>
        <w:t xml:space="preserve">”</w:t>
      </w:r>
      <w:r>
        <w:rPr>
          <w:bCs/>
          <w:b/>
        </w:rPr>
        <w:t xml:space="preserve"> </w:t>
      </w:r>
      <w:r>
        <w:rPr>
          <w:bCs/>
          <w:b/>
        </w:rPr>
        <w:t xml:space="preserve">Majjhima Nikāya 10, SuttaCentral.</w:t>
      </w:r>
      <w:r>
        <w:t xml:space="preserve"> </w:t>
      </w:r>
      <w:r>
        <w:t xml:space="preserve">Used for contextual reference to the discourse on establishing mindfulness. The book offers brief everyday exercises and does not claim they reproduce the full traditional practice. https://suttacentral.net/mn10/en/sujato</w:t>
      </w:r>
    </w:p>
    <w:bookmarkEnd w:id="21"/>
    <w:bookmarkStart w:id="22" w:name="health-and-psychology-sources"/>
    <w:p>
      <w:pPr>
        <w:pStyle w:val="Heading2"/>
      </w:pPr>
      <w:r>
        <w:t xml:space="preserve">Health and psychology sources</w:t>
      </w:r>
    </w:p>
    <w:p>
      <w:pPr>
        <w:numPr>
          <w:ilvl w:val="0"/>
          <w:numId w:val="1002"/>
        </w:numPr>
        <w:pStyle w:val="Compact"/>
      </w:pPr>
      <w:r>
        <w:rPr>
          <w:bCs/>
          <w:b/>
        </w:rPr>
        <w:t xml:space="preserve">National Center for Complementary and Integrative Health (NCCIH),</w:t>
      </w:r>
      <w:r>
        <w:rPr>
          <w:bCs/>
          <w:b/>
        </w:rPr>
        <w:t xml:space="preserve"> </w:t>
      </w:r>
      <w:r>
        <w:rPr>
          <w:bCs/>
          <w:b/>
        </w:rPr>
        <w:t xml:space="preserve">“</w:t>
      </w:r>
      <w:r>
        <w:rPr>
          <w:bCs/>
          <w:b/>
        </w:rPr>
        <w:t xml:space="preserve">Meditation and Mindfulness: Effectiveness and Safety.</w:t>
      </w:r>
      <w:r>
        <w:rPr>
          <w:bCs/>
          <w:b/>
        </w:rPr>
        <w:t xml:space="preserve">”</w:t>
      </w:r>
      <w:r>
        <w:t xml:space="preserve"> </w:t>
      </w:r>
      <w:r>
        <w:t xml:space="preserve">Summarizes evidence across different practices and outcomes, including limitations and possible negative experiences. https://www.nccih.nih.gov/health/meditation-and-mindfulness-effectiveness-and-safety</w:t>
      </w:r>
    </w:p>
    <w:p>
      <w:pPr>
        <w:numPr>
          <w:ilvl w:val="0"/>
          <w:numId w:val="1002"/>
        </w:numPr>
        <w:pStyle w:val="Compact"/>
      </w:pPr>
      <w:r>
        <w:rPr>
          <w:bCs/>
          <w:b/>
        </w:rPr>
        <w:t xml:space="preserve">NCCIH,</w:t>
      </w:r>
      <w:r>
        <w:rPr>
          <w:bCs/>
          <w:b/>
        </w:rPr>
        <w:t xml:space="preserve"> </w:t>
      </w:r>
      <w:r>
        <w:rPr>
          <w:bCs/>
          <w:b/>
        </w:rPr>
        <w:t xml:space="preserve">“</w:t>
      </w:r>
      <w:r>
        <w:rPr>
          <w:bCs/>
          <w:b/>
        </w:rPr>
        <w:t xml:space="preserve">7 Things To Know About Complementary Health Approaches for Anxiety.</w:t>
      </w:r>
      <w:r>
        <w:rPr>
          <w:bCs/>
          <w:b/>
        </w:rPr>
        <w:t xml:space="preserve">”</w:t>
      </w:r>
      <w:r>
        <w:t xml:space="preserve"> </w:t>
      </w:r>
      <w:r>
        <w:t xml:space="preserve">States that mindfulness meditation may have a small-to-modest effect on anxiety-related symptoms, while noting it has not been shown to treat anxiety disorders. https://www.nccih.nih.gov/health/tips/things-to-know-about-complementary-health-approaches-for-anxiety</w:t>
      </w:r>
    </w:p>
    <w:p>
      <w:pPr>
        <w:numPr>
          <w:ilvl w:val="0"/>
          <w:numId w:val="1002"/>
        </w:numPr>
        <w:pStyle w:val="Compact"/>
      </w:pPr>
      <w:r>
        <w:rPr>
          <w:bCs/>
          <w:b/>
        </w:rPr>
        <w:t xml:space="preserve">National Health Service (NHS),</w:t>
      </w:r>
      <w:r>
        <w:rPr>
          <w:bCs/>
          <w:b/>
        </w:rPr>
        <w:t xml:space="preserve"> </w:t>
      </w:r>
      <w:r>
        <w:rPr>
          <w:bCs/>
          <w:b/>
        </w:rPr>
        <w:t xml:space="preserve">“</w:t>
      </w:r>
      <w:r>
        <w:rPr>
          <w:bCs/>
          <w:b/>
        </w:rPr>
        <w:t xml:space="preserve">Mindfulness.</w:t>
      </w:r>
      <w:r>
        <w:rPr>
          <w:bCs/>
          <w:b/>
        </w:rPr>
        <w:t xml:space="preserve">”</w:t>
      </w:r>
      <w:r>
        <w:t xml:space="preserve"> </w:t>
      </w:r>
      <w:r>
        <w:t xml:space="preserve">Public information on mindfulness and mental wellbeing. https://www.nhs.uk/mental-health/self-help/tips-and-support/mindfulness/</w:t>
      </w:r>
    </w:p>
    <w:p>
      <w:pPr>
        <w:numPr>
          <w:ilvl w:val="0"/>
          <w:numId w:val="1002"/>
        </w:numPr>
        <w:pStyle w:val="Compact"/>
      </w:pPr>
      <w:r>
        <w:rPr>
          <w:bCs/>
          <w:b/>
        </w:rPr>
        <w:t xml:space="preserve">Healthdirect Australia,</w:t>
      </w:r>
      <w:r>
        <w:rPr>
          <w:bCs/>
          <w:b/>
        </w:rPr>
        <w:t xml:space="preserve"> </w:t>
      </w:r>
      <w:r>
        <w:rPr>
          <w:bCs/>
          <w:b/>
        </w:rPr>
        <w:t xml:space="preserve">“</w:t>
      </w:r>
      <w:r>
        <w:rPr>
          <w:bCs/>
          <w:b/>
        </w:rPr>
        <w:t xml:space="preserve">Mindfulness — mental health and wellbeing.</w:t>
      </w:r>
      <w:r>
        <w:rPr>
          <w:bCs/>
          <w:b/>
        </w:rPr>
        <w:t xml:space="preserve">”</w:t>
      </w:r>
      <w:r>
        <w:t xml:space="preserve"> </w:t>
      </w:r>
      <w:r>
        <w:t xml:space="preserve">Public information and a caution that intense meditation may worsen symptoms for some people with psychosis. https://www.healthdirect.gov.au/healthy-living/emotional-wellbeing/mindfulness</w:t>
      </w:r>
    </w:p>
    <w:p>
      <w:pPr>
        <w:numPr>
          <w:ilvl w:val="0"/>
          <w:numId w:val="1002"/>
        </w:numPr>
        <w:pStyle w:val="Compact"/>
      </w:pPr>
      <w:r>
        <w:rPr>
          <w:bCs/>
          <w:b/>
        </w:rPr>
        <w:t xml:space="preserve">Moulds, Michelle L., and Peter M. McEvoy.</w:t>
      </w:r>
      <w:r>
        <w:rPr>
          <w:bCs/>
          <w:b/>
        </w:rPr>
        <w:t xml:space="preserve"> </w:t>
      </w:r>
      <w:r>
        <w:rPr>
          <w:bCs/>
          <w:b/>
        </w:rPr>
        <w:t xml:space="preserve">“</w:t>
      </w:r>
      <w:r>
        <w:rPr>
          <w:bCs/>
          <w:b/>
        </w:rPr>
        <w:t xml:space="preserve">Repetitive negative thinking as a transdiagnostic cognitive process.</w:t>
      </w:r>
      <w:r>
        <w:rPr>
          <w:bCs/>
          <w:b/>
        </w:rPr>
        <w:t xml:space="preserve">”</w:t>
      </w:r>
      <w:r>
        <w:rPr>
          <w:bCs/>
          <w:b/>
        </w:rPr>
        <w:t xml:space="preserve"> </w:t>
      </w:r>
      <w:r>
        <w:rPr>
          <w:bCs/>
          <w:b/>
        </w:rPr>
        <w:t xml:space="preserve">Nature Reviews Psychology 4 (2025): 127–141.</w:t>
      </w:r>
      <w:r>
        <w:t xml:space="preserve"> </w:t>
      </w:r>
      <w:r>
        <w:t xml:space="preserve">Review of rumination and worry as related forms of repetitive negative thinking; used for terminology only, not to diagnose readers. https://www.nature.com/articles/s44159-024-00399-6</w:t>
      </w:r>
    </w:p>
    <w:p>
      <w:pPr>
        <w:numPr>
          <w:ilvl w:val="0"/>
          <w:numId w:val="1002"/>
        </w:numPr>
        <w:pStyle w:val="Compact"/>
      </w:pPr>
      <w:r>
        <w:rPr>
          <w:bCs/>
          <w:b/>
        </w:rPr>
        <w:t xml:space="preserve">American Psychological Association,</w:t>
      </w:r>
      <w:r>
        <w:rPr>
          <w:bCs/>
          <w:b/>
        </w:rPr>
        <w:t xml:space="preserve"> </w:t>
      </w:r>
      <w:r>
        <w:rPr>
          <w:bCs/>
          <w:b/>
        </w:rPr>
        <w:t xml:space="preserve">“</w:t>
      </w:r>
      <w:r>
        <w:rPr>
          <w:bCs/>
          <w:b/>
        </w:rPr>
        <w:t xml:space="preserve">Stress in America 2025: A Crisis of Connection.</w:t>
      </w:r>
      <w:r>
        <w:rPr>
          <w:bCs/>
          <w:b/>
        </w:rPr>
        <w:t xml:space="preserve">”</w:t>
      </w:r>
      <w:r>
        <w:t xml:space="preserve"> </w:t>
      </w:r>
      <w:r>
        <w:t xml:space="preserve">U.S. survey report included as social context, not as evidence that any exercise in this book treats a condition. https://www.apa.org/pubs/reports/stress-in-america/2025</w:t>
      </w:r>
    </w:p>
    <w:bookmarkEnd w:id="22"/>
    <w:bookmarkStart w:id="23" w:name="editorial-cautions"/>
    <w:p>
      <w:pPr>
        <w:pStyle w:val="Heading2"/>
      </w:pPr>
      <w:r>
        <w:t xml:space="preserve">Editorial cautions</w:t>
      </w:r>
    </w:p>
    <w:p>
      <w:pPr>
        <w:numPr>
          <w:ilvl w:val="0"/>
          <w:numId w:val="1003"/>
        </w:numPr>
        <w:pStyle w:val="Compact"/>
      </w:pPr>
      <w:r>
        <w:t xml:space="preserve">Buddhist texts have different translations and interpretive histories. The selected Pali sources do not represent all Buddhist traditions.</w:t>
      </w:r>
    </w:p>
    <w:p>
      <w:pPr>
        <w:numPr>
          <w:ilvl w:val="0"/>
          <w:numId w:val="1003"/>
        </w:numPr>
        <w:pStyle w:val="Compact"/>
      </w:pPr>
      <w:r>
        <w:t xml:space="preserve">No clinical efficacy claim is made for the exercises in this book.</w:t>
      </w:r>
    </w:p>
    <w:p>
      <w:pPr>
        <w:numPr>
          <w:ilvl w:val="0"/>
          <w:numId w:val="1003"/>
        </w:numPr>
        <w:pStyle w:val="Compact"/>
      </w:pPr>
      <w:r>
        <w:t xml:space="preserve">Readers experiencing persistent or severe distress are encouraged to seek qualified professional support.</w:t>
      </w:r>
    </w:p>
    <w:bookmarkEnd w:id="23"/>
    <w:bookmarkEnd w:id="24"/>
    <w:sectPr w:rsidR="00FC693F" w:rsidRPr="0006063C" w:rsidSect="00034616">
      <w:pgSz w:h="12960" w:w="8640"/>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76" w:lineRule="auto"/>
    </w:pPr>
    <w:rPr>
      <w:rFonts w:ascii="Georgia" w:hAnsi="Georgia"/>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300"/>
      <w:outlineLvl w:val="0"/>
    </w:pPr>
    <w:rPr>
      <w:rFonts w:ascii="Georgia" w:asciiTheme="majorHAnsi" w:cstheme="majorBidi" w:eastAsiaTheme="majorEastAsia" w:hAnsi="Georgia" w:hAnsiTheme="majorHAnsi"/>
      <w:b/>
      <w:bCs/>
      <w:color w:val="000000"/>
      <w:sz w:val="38"/>
      <w:szCs w:val="28"/>
    </w:rPr>
  </w:style>
  <w:style w:styleId="Heading2" w:type="paragraph">
    <w:name w:val="heading 2"/>
    <w:basedOn w:val="Normal"/>
    <w:next w:val="Normal"/>
    <w:link w:val="Heading2Char"/>
    <w:uiPriority w:val="9"/>
    <w:unhideWhenUsed/>
    <w:qFormat/>
    <w:rsid w:val="00FC693F"/>
    <w:pPr>
      <w:keepNext/>
      <w:keepLines/>
      <w:spacing w:after="140" w:before="300"/>
      <w:outlineLvl w:val="1"/>
    </w:pPr>
    <w:rPr>
      <w:rFonts w:ascii="Georgia" w:asciiTheme="majorHAnsi" w:cstheme="majorBidi" w:eastAsiaTheme="majorEastAsia" w:hAnsi="Georgia"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140" w:before="300"/>
      <w:outlineLvl w:val="2"/>
    </w:pPr>
    <w:rPr>
      <w:rFonts w:ascii="Georgia" w:asciiTheme="majorHAnsi" w:cstheme="majorBidi" w:eastAsiaTheme="majorEastAsia" w:hAnsi="Georgia"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Georgia" w:asciiTheme="majorHAnsi" w:cstheme="majorBidi" w:eastAsiaTheme="majorEastAsia" w:hAnsi="Georgia" w:hAnsiTheme="majorHAnsi"/>
      <w:i/>
      <w:iCs/>
      <w:color w:val="00000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contextualSpacing/>
    </w:pPr>
    <w:rPr>
      <w:rFonts w:ascii="Georgia" w:hAnsi="Georgia"/>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contextualSpacing/>
    </w:pPr>
    <w:rPr>
      <w:rFonts w:ascii="Georgia" w:hAnsi="Georgia"/>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styleId="Title" w:type="paragraph">
    <w:name w:val="Title"/>
    <w:basedOn w:val="Normal"/>
    <w:next w:val="Normal"/>
    <w:link w:val="TitleChar"/>
    <w:uiPriority w:val="10"/>
    <w:qFormat/>
    <w:rsid w:val="00FC693F"/>
    <w:pPr>
      <w:spacing w:after="300" w:line="240" w:lineRule="auto"/>
      <w:contextualSpacing/>
    </w:pPr>
    <w:rPr>
      <w:rFonts w:ascii="Georgia" w:asciiTheme="majorHAnsi" w:cstheme="majorBidi" w:eastAsiaTheme="majorEastAsia" w:hAnsi="Georgia" w:hAnsiTheme="majorHAnsi"/>
      <w:color w:val="000000"/>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References and Source Notes</dc:title>
  <dc:creator>Jaspal Singh</dc:creator>
  <cp:keywords/>
  <dcterms:created xsi:type="dcterms:W3CDTF">2026-10-28T14:05:15Z</dcterms:created>
  <dcterms:modified xsi:type="dcterms:W3CDTF">2026-10-28T14:05:15Z</dcterms:modified>
</cp:coreProperties>
</file>

<file path=docProps/custom.xml><?xml version="1.0" encoding="utf-8"?>
<Properties xmlns="http://schemas.openxmlformats.org/officeDocument/2006/custom-properties" xmlns:vt="http://schemas.openxmlformats.org/officeDocument/2006/docPropsVTypes"/>
</file>