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b/>
          <w:color w:val="0B5EA8"/>
          <w:sz w:val="26"/>
        </w:rPr>
        <w:t>UNIVERSIDAD POLITÉCNICA SALESIANA</w:t>
      </w:r>
    </w:p>
    <w:p>
      <w:pPr>
        <w:spacing w:before="560"/>
        <w:jc w:val="center"/>
      </w:pPr>
      <w:r>
        <w:rPr>
          <w:b/>
          <w:color w:val="17324D"/>
          <w:sz w:val="60"/>
        </w:rPr>
        <w:t>Manual de Usuario</w:t>
      </w:r>
    </w:p>
    <w:p>
      <w:pPr>
        <w:jc w:val="center"/>
      </w:pPr>
      <w:r>
        <w:rPr>
          <w:color w:val="0B5EA8"/>
          <w:sz w:val="38"/>
        </w:rPr>
        <w:t>Observatorio de Transformación Digital UPS</w:t>
      </w:r>
    </w:p>
    <w:p>
      <w:pPr>
        <w:spacing w:before="720"/>
        <w:jc w:val="center"/>
      </w:pPr>
      <w:r>
        <w:rPr>
          <w:b/>
          <w:sz w:val="24"/>
        </w:rPr>
        <w:t>Versión de plataforma 3.1</w:t>
      </w:r>
    </w:p>
    <w:p>
      <w:pPr>
        <w:jc w:val="center"/>
      </w:pPr>
      <w:r>
        <w:rPr>
          <w:sz w:val="22"/>
        </w:rPr>
        <w:t>Portal público · Gestión autorizada · Evidencias · APIs · Pronóstico por cronograma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tcMar>
              <w:top w:w="150" w:type="dxa"/>
              <w:start w:w="180" w:type="dxa"/>
              <w:bottom w:w="150" w:type="dxa"/>
              <w:end w:w="180" w:type="dxa"/>
            </w:tcMar>
            <w:shd w:fill="EAF3FB"/>
          </w:tcPr>
          <w:p>
            <w:r>
              <w:rPr>
                <w:b/>
              </w:rPr>
              <w:t>Responsable</w:t>
            </w:r>
          </w:p>
        </w:tc>
        <w:tc>
          <w:tcPr>
            <w:tcW w:type="dxa" w:w="4968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t>Coordinación de Transformación Digital UPS</w:t>
            </w:r>
          </w:p>
        </w:tc>
      </w:tr>
      <w:tr>
        <w:tc>
          <w:tcPr>
            <w:tcW w:type="dxa" w:w="4968"/>
            <w:tcMar>
              <w:top w:w="150" w:type="dxa"/>
              <w:start w:w="180" w:type="dxa"/>
              <w:bottom w:w="150" w:type="dxa"/>
              <w:end w:w="180" w:type="dxa"/>
            </w:tcMar>
            <w:shd w:fill="EAF3FB"/>
          </w:tcPr>
          <w:p>
            <w:r>
              <w:rPr>
                <w:b/>
              </w:rPr>
              <w:t>Correo</w:t>
            </w:r>
          </w:p>
        </w:tc>
        <w:tc>
          <w:tcPr>
            <w:tcW w:type="dxa" w:w="4968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t>transformaciondigital@ups.edu.ec</w:t>
            </w:r>
          </w:p>
        </w:tc>
      </w:tr>
      <w:tr>
        <w:tc>
          <w:tcPr>
            <w:tcW w:type="dxa" w:w="4968"/>
            <w:tcMar>
              <w:top w:w="150" w:type="dxa"/>
              <w:start w:w="180" w:type="dxa"/>
              <w:bottom w:w="150" w:type="dxa"/>
              <w:end w:w="180" w:type="dxa"/>
            </w:tcMar>
            <w:shd w:fill="EAF3FB"/>
          </w:tcPr>
          <w:p>
            <w:r>
              <w:rPr>
                <w:b/>
              </w:rPr>
              <w:t>Documento</w:t>
            </w:r>
          </w:p>
        </w:tc>
        <w:tc>
          <w:tcPr>
            <w:tcW w:type="dxa" w:w="4968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t>Manual de Usuario - versión 3.1</w:t>
            </w:r>
          </w:p>
        </w:tc>
      </w:tr>
    </w:tbl>
    <w:p>
      <w:pPr>
        <w:spacing w:before="840"/>
        <w:jc w:val="center"/>
      </w:pPr>
      <w:r>
        <w:rPr>
          <w:color w:val="5F6B76"/>
          <w:sz w:val="20"/>
        </w:rPr>
        <w:t>Uso institucional</w:t>
      </w:r>
    </w:p>
    <w:p>
      <w:r>
        <w:br w:type="page"/>
      </w:r>
    </w:p>
    <w:p>
      <w:pPr>
        <w:pStyle w:val="Heading1"/>
        <w:spacing w:before="280" w:after="120"/>
      </w:pPr>
      <w:r>
        <w:rPr>
          <w:color w:val="0B5EA8"/>
        </w:rPr>
        <w:t>Contenido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1440"/>
            <w:shd w:fill="0B5EA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Sección</w:t>
            </w:r>
          </w:p>
        </w:tc>
        <w:tc>
          <w:tcPr>
            <w:tcW w:type="dxa" w:w="8208"/>
            <w:shd w:fill="0B5EA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Tema</w:t>
            </w:r>
          </w:p>
        </w:tc>
      </w:tr>
      <w:tr>
        <w:tc>
          <w:tcPr>
            <w:tcW w:type="dxa" w:w="14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820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Propósito</w:t>
            </w:r>
          </w:p>
        </w:tc>
      </w:tr>
      <w:tr>
        <w:tc>
          <w:tcPr>
            <w:tcW w:type="dxa" w:w="14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820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Página principal y dashboard</w:t>
            </w:r>
          </w:p>
        </w:tc>
      </w:tr>
      <w:tr>
        <w:tc>
          <w:tcPr>
            <w:tcW w:type="dxa" w:w="14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820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Pestaña Modelo TD</w:t>
            </w:r>
          </w:p>
        </w:tc>
      </w:tr>
      <w:tr>
        <w:tc>
          <w:tcPr>
            <w:tcW w:type="dxa" w:w="14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820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Pestaña Dimensiones</w:t>
            </w:r>
          </w:p>
        </w:tc>
      </w:tr>
      <w:tr>
        <w:tc>
          <w:tcPr>
            <w:tcW w:type="dxa" w:w="14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820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Contacto</w:t>
            </w:r>
          </w:p>
        </w:tc>
      </w:tr>
      <w:tr>
        <w:tc>
          <w:tcPr>
            <w:tcW w:type="dxa" w:w="14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820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Acceso autorizado</w:t>
            </w:r>
          </w:p>
        </w:tc>
      </w:tr>
      <w:tr>
        <w:tc>
          <w:tcPr>
            <w:tcW w:type="dxa" w:w="14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type="dxa" w:w="820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Gestión de iniciativas</w:t>
            </w:r>
          </w:p>
        </w:tc>
      </w:tr>
      <w:tr>
        <w:tc>
          <w:tcPr>
            <w:tcW w:type="dxa" w:w="14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type="dxa" w:w="820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Actualización de actividades</w:t>
            </w:r>
          </w:p>
        </w:tc>
      </w:tr>
      <w:tr>
        <w:tc>
          <w:tcPr>
            <w:tcW w:type="dxa" w:w="14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type="dxa" w:w="820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Carga de evidencias</w:t>
            </w:r>
          </w:p>
        </w:tc>
      </w:tr>
      <w:tr>
        <w:tc>
          <w:tcPr>
            <w:tcW w:type="dxa" w:w="14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type="dxa" w:w="820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Auditoría</w:t>
            </w:r>
          </w:p>
        </w:tc>
      </w:tr>
      <w:tr>
        <w:tc>
          <w:tcPr>
            <w:tcW w:type="dxa" w:w="14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11</w:t>
            </w:r>
          </w:p>
        </w:tc>
        <w:tc>
          <w:tcPr>
            <w:tcW w:type="dxa" w:w="820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Administración de usuarios</w:t>
            </w:r>
          </w:p>
        </w:tc>
      </w:tr>
      <w:tr>
        <w:tc>
          <w:tcPr>
            <w:tcW w:type="dxa" w:w="14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type="dxa" w:w="820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Creación de nuevas iniciativas</w:t>
            </w:r>
          </w:p>
        </w:tc>
      </w:tr>
      <w:tr>
        <w:tc>
          <w:tcPr>
            <w:tcW w:type="dxa" w:w="14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13</w:t>
            </w:r>
          </w:p>
        </w:tc>
        <w:tc>
          <w:tcPr>
            <w:tcW w:type="dxa" w:w="820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Pronóstico por cronograma</w:t>
            </w:r>
          </w:p>
        </w:tc>
      </w:tr>
      <w:tr>
        <w:tc>
          <w:tcPr>
            <w:tcW w:type="dxa" w:w="14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14</w:t>
            </w:r>
          </w:p>
        </w:tc>
        <w:tc>
          <w:tcPr>
            <w:tcW w:type="dxa" w:w="820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Documentación de APIs</w:t>
            </w:r>
          </w:p>
        </w:tc>
      </w:tr>
      <w:tr>
        <w:tc>
          <w:tcPr>
            <w:tcW w:type="dxa" w:w="14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15</w:t>
            </w:r>
          </w:p>
        </w:tc>
        <w:tc>
          <w:tcPr>
            <w:tcW w:type="dxa" w:w="820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Buenas prácticas</w:t>
            </w:r>
          </w:p>
        </w:tc>
      </w:tr>
      <w:tr>
        <w:tc>
          <w:tcPr>
            <w:tcW w:type="dxa" w:w="14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16</w:t>
            </w:r>
          </w:p>
        </w:tc>
        <w:tc>
          <w:tcPr>
            <w:tcW w:type="dxa" w:w="820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Solución de problemas</w:t>
            </w:r>
          </w:p>
        </w:tc>
      </w:tr>
      <w:tr>
        <w:tc>
          <w:tcPr>
            <w:tcW w:type="dxa" w:w="14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17</w:t>
            </w:r>
          </w:p>
        </w:tc>
        <w:tc>
          <w:tcPr>
            <w:tcW w:type="dxa" w:w="820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Contacto y soporte</w:t>
            </w:r>
          </w:p>
        </w:tc>
      </w:tr>
    </w:tbl>
    <w:p>
      <w:pPr>
        <w:spacing w:after="2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AF3FB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60"/>
            </w:pPr>
            <w:r>
              <w:rPr>
                <w:b/>
                <w:color w:val="17324D"/>
              </w:rPr>
              <w:t>Lectura rápida</w:t>
            </w:r>
          </w:p>
          <w:p>
            <w:pPr>
              <w:spacing w:after="0"/>
            </w:pPr>
            <w:r>
              <w:rPr>
                <w:sz w:val="21"/>
              </w:rPr>
              <w:t>Los capítulos 2-5 corresponden al portal público. Los capítulos 6-12 explican el espacio de gestión autorizada. Los capítulos 13-14 cubren pronóstico y documentación técnica.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spacing w:before="280" w:after="120"/>
      </w:pPr>
      <w:r>
        <w:rPr>
          <w:color w:val="0B5EA8"/>
        </w:rPr>
        <w:t>1. Propósito</w:t>
      </w:r>
    </w:p>
    <w:p>
      <w:pPr>
        <w:spacing w:after="120" w:line="276" w:lineRule="auto"/>
      </w:pPr>
      <w:r>
        <w:t>El Observatorio de Transformación Digital permite consultar el estado de madurez digital de la Universidad Politécnica Salesiana y gestionar, con autorización, el avance de las iniciativas que alimentan dicho cálculo.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AF3FB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60"/>
            </w:pPr>
            <w:r>
              <w:rPr>
                <w:b/>
                <w:color w:val="17324D"/>
              </w:rPr>
              <w:t>Dos espacios claramente separados</w:t>
            </w:r>
          </w:p>
          <w:p>
            <w:pPr>
              <w:spacing w:after="0"/>
            </w:pPr>
            <w:r>
              <w:rPr>
                <w:sz w:val="21"/>
              </w:rPr>
              <w:t>Portal público: dashboard, modelo, dimensiones y contacto. Gestión autorizada: actividades, justificaciones, evidencias, auditoría, usuarios y nuevas iniciativas.</w:t>
            </w:r>
          </w:p>
        </w:tc>
      </w:tr>
    </w:tbl>
    <w:p>
      <w:pPr>
        <w:spacing w:after="20"/>
      </w:pPr>
    </w:p>
    <w:p>
      <w:pPr>
        <w:pStyle w:val="Heading2"/>
        <w:spacing w:before="180" w:after="120"/>
      </w:pPr>
      <w:r>
        <w:rPr>
          <w:color w:val="17324D"/>
        </w:rPr>
        <w:t>Cadena de trazabilidad</w:t>
      </w:r>
    </w:p>
    <w:p>
      <w:pPr>
        <w:spacing w:after="120" w:line="276" w:lineRule="auto"/>
      </w:pPr>
      <w:r>
        <w:t>La plataforma sigue la cadena institucional: Iniciativa -&gt; Dimensión -&gt; Objetivo -&gt; KR -&gt; KPI -&gt; Evidencia -&gt; IGMD / IOC / IKO / IGTD.</w:t>
      </w:r>
    </w:p>
    <w:p>
      <w:pPr>
        <w:pStyle w:val="Heading1"/>
        <w:spacing w:before="280" w:after="120"/>
      </w:pPr>
      <w:r>
        <w:rPr>
          <w:color w:val="0B5EA8"/>
        </w:rPr>
        <w:t>2. Página principal y dashboard</w:t>
      </w:r>
    </w:p>
    <w:p>
      <w:pPr>
        <w:spacing w:after="120" w:line="276" w:lineRule="auto"/>
      </w:pPr>
      <w:r>
        <w:t>La página principal presenta el tablero ejecutivo del Observatorio. Su finalidad es ofrecer una lectura inmediata del estado de transformación digital y permitir identificar dimensiones con mayor brecha.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2376"/>
            <w:shd w:fill="0B5EA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Elemento</w:t>
            </w:r>
          </w:p>
        </w:tc>
        <w:tc>
          <w:tcPr>
            <w:tcW w:type="dxa" w:w="7272"/>
            <w:shd w:fill="0B5EA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Interpretación</w:t>
            </w:r>
          </w:p>
        </w:tc>
      </w:tr>
      <w:tr>
        <w:tc>
          <w:tcPr>
            <w:tcW w:type="dxa" w:w="237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IGTD</w:t>
            </w:r>
          </w:p>
        </w:tc>
        <w:tc>
          <w:tcPr>
            <w:tcW w:type="dxa" w:w="727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Índice Global Ajustado de Transformación Digital, escala 0-5.</w:t>
            </w:r>
          </w:p>
        </w:tc>
      </w:tr>
      <w:tr>
        <w:tc>
          <w:tcPr>
            <w:tcW w:type="dxa" w:w="237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IGMD</w:t>
            </w:r>
          </w:p>
        </w:tc>
        <w:tc>
          <w:tcPr>
            <w:tcW w:type="dxa" w:w="727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Madurez estructural derivada de iniciativas y contribuciones D1-D5.</w:t>
            </w:r>
          </w:p>
        </w:tc>
      </w:tr>
      <w:tr>
        <w:tc>
          <w:tcPr>
            <w:tcW w:type="dxa" w:w="237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IOC</w:t>
            </w:r>
          </w:p>
        </w:tc>
        <w:tc>
          <w:tcPr>
            <w:tcW w:type="dxa" w:w="727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Cumplimiento estratégico de objetivos y KRs.</w:t>
            </w:r>
          </w:p>
        </w:tc>
      </w:tr>
      <w:tr>
        <w:tc>
          <w:tcPr>
            <w:tcW w:type="dxa" w:w="237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IKO</w:t>
            </w:r>
          </w:p>
        </w:tc>
        <w:tc>
          <w:tcPr>
            <w:tcW w:type="dxa" w:w="727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Desempeño operativo de KPIs.</w:t>
            </w:r>
          </w:p>
        </w:tc>
      </w:tr>
      <w:tr>
        <w:tc>
          <w:tcPr>
            <w:tcW w:type="dxa" w:w="237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Radar D1-D5</w:t>
            </w:r>
          </w:p>
        </w:tc>
        <w:tc>
          <w:tcPr>
            <w:tcW w:type="dxa" w:w="727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Compara la madurez de las cinco dimensiones.</w:t>
            </w:r>
          </w:p>
        </w:tc>
      </w:tr>
      <w:tr>
        <w:tc>
          <w:tcPr>
            <w:tcW w:type="dxa" w:w="237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Heatmap O1-O5 x D1-D5</w:t>
            </w:r>
          </w:p>
        </w:tc>
        <w:tc>
          <w:tcPr>
            <w:tcW w:type="dxa" w:w="727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Muestra la intensidad estratégica entre objetivos y dimensiones.</w:t>
            </w:r>
          </w:p>
        </w:tc>
      </w:tr>
      <w:tr>
        <w:tc>
          <w:tcPr>
            <w:tcW w:type="dxa" w:w="237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Alertas de calidad</w:t>
            </w:r>
          </w:p>
        </w:tc>
        <w:tc>
          <w:tcPr>
            <w:tcW w:type="dxa" w:w="727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Señalan inconsistencias de datos que requieren revisión.</w:t>
            </w:r>
          </w:p>
        </w:tc>
      </w:tr>
    </w:tbl>
    <w:p>
      <w:pPr>
        <w:spacing w:after="20"/>
      </w:pPr>
    </w:p>
    <w:p>
      <w:pPr>
        <w:spacing w:after="120" w:line="276" w:lineRule="auto"/>
      </w:pPr>
      <w:r>
        <w:t>La vista permite alternar entre el portafolio operativo actual y el modelo agregado de 16 iniciativas conceptuales. Esta selección cambia el alcance del cálculo, no los datos fuente.</w:t>
      </w:r>
    </w:p>
    <w:p>
      <w:pPr>
        <w:pStyle w:val="Heading1"/>
        <w:spacing w:before="280" w:after="120"/>
      </w:pPr>
      <w:r>
        <w:rPr>
          <w:color w:val="0B5EA8"/>
        </w:rPr>
        <w:t>3. Pestaña Modelo TD</w:t>
      </w:r>
    </w:p>
    <w:p>
      <w:pPr>
        <w:spacing w:after="120" w:line="276" w:lineRule="auto"/>
      </w:pPr>
      <w:r>
        <w:t>La pestaña Modelo TD explica el marco formal de tres capas usado por el Observatorio.</w:t>
      </w:r>
    </w:p>
    <w:p>
      <w:pPr>
        <w:pStyle w:val="ListBullet"/>
        <w:spacing w:after="60"/>
        <w:ind w:left="346"/>
      </w:pPr>
      <w:r>
        <w:t>Capa 1 - Madurez Estructural: cobertura ponderada y nivel M_d por dimensión.</w:t>
      </w:r>
    </w:p>
    <w:p>
      <w:pPr>
        <w:pStyle w:val="ListBullet"/>
        <w:spacing w:after="60"/>
        <w:ind w:left="346"/>
      </w:pPr>
      <w:r>
        <w:t>Capa 2 - Cumplimiento Estratégico: KRs normalizados y cumplimiento O1-O5.</w:t>
      </w:r>
    </w:p>
    <w:p>
      <w:pPr>
        <w:pStyle w:val="ListBullet"/>
        <w:spacing w:after="60"/>
        <w:ind w:left="346"/>
      </w:pPr>
      <w:r>
        <w:t>Capa 3 - Desempeño Operativo: KPIs normalizados e IKO.</w:t>
      </w:r>
    </w:p>
    <w:p>
      <w:pPr>
        <w:pStyle w:val="ListBullet"/>
        <w:spacing w:after="60"/>
        <w:ind w:left="346"/>
      </w:pPr>
      <w:r>
        <w:t>IGTD: combinación ponderada de IGMD, IOC(5) e IKO(5).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AF3FB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60"/>
            </w:pPr>
            <w:r>
              <w:rPr>
                <w:b/>
                <w:color w:val="17324D"/>
              </w:rPr>
              <w:t>Importante</w:t>
            </w:r>
          </w:p>
          <w:p>
            <w:pPr>
              <w:spacing w:after="0"/>
            </w:pPr>
            <w:r>
              <w:rPr>
                <w:sz w:val="21"/>
              </w:rPr>
              <w:t>Esta pestaña es informativa. No modifica avances, pesos ni contribuciones.</w:t>
            </w:r>
          </w:p>
        </w:tc>
      </w:tr>
    </w:tbl>
    <w:p>
      <w:pPr>
        <w:spacing w:after="20"/>
      </w:pPr>
    </w:p>
    <w:p>
      <w:pPr>
        <w:pStyle w:val="Heading1"/>
        <w:spacing w:before="280" w:after="120"/>
      </w:pPr>
      <w:r>
        <w:rPr>
          <w:color w:val="0B5EA8"/>
        </w:rPr>
        <w:t>4. Pestaña Dimensiones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1152"/>
            <w:shd w:fill="0B5EA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Código</w:t>
            </w:r>
          </w:p>
        </w:tc>
        <w:tc>
          <w:tcPr>
            <w:tcW w:type="dxa" w:w="8496"/>
            <w:shd w:fill="0B5EA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Dimensión</w:t>
            </w:r>
          </w:p>
        </w:tc>
      </w:tr>
      <w:tr>
        <w:tc>
          <w:tcPr>
            <w:tcW w:type="dxa" w:w="115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D1</w:t>
            </w:r>
          </w:p>
        </w:tc>
        <w:tc>
          <w:tcPr>
            <w:tcW w:type="dxa" w:w="849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Oferta Académica y Aprendizaje Digital</w:t>
            </w:r>
          </w:p>
        </w:tc>
      </w:tr>
      <w:tr>
        <w:tc>
          <w:tcPr>
            <w:tcW w:type="dxa" w:w="115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D2</w:t>
            </w:r>
          </w:p>
        </w:tc>
        <w:tc>
          <w:tcPr>
            <w:tcW w:type="dxa" w:w="849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Experiencia Universitaria y Procesos</w:t>
            </w:r>
          </w:p>
        </w:tc>
      </w:tr>
      <w:tr>
        <w:tc>
          <w:tcPr>
            <w:tcW w:type="dxa" w:w="115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D3</w:t>
            </w:r>
          </w:p>
        </w:tc>
        <w:tc>
          <w:tcPr>
            <w:tcW w:type="dxa" w:w="849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Sostenibilidad Económica y Analítica de Datos</w:t>
            </w:r>
          </w:p>
        </w:tc>
      </w:tr>
      <w:tr>
        <w:tc>
          <w:tcPr>
            <w:tcW w:type="dxa" w:w="115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D4</w:t>
            </w:r>
          </w:p>
        </w:tc>
        <w:tc>
          <w:tcPr>
            <w:tcW w:type="dxa" w:w="849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Investigación, Vinculación e Innovación</w:t>
            </w:r>
          </w:p>
        </w:tc>
      </w:tr>
      <w:tr>
        <w:tc>
          <w:tcPr>
            <w:tcW w:type="dxa" w:w="115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D5</w:t>
            </w:r>
          </w:p>
        </w:tc>
        <w:tc>
          <w:tcPr>
            <w:tcW w:type="dxa" w:w="849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Sostenibilidad Ambiental - Universidad Cero Emisiones</w:t>
            </w:r>
          </w:p>
        </w:tc>
      </w:tr>
    </w:tbl>
    <w:p>
      <w:pPr>
        <w:spacing w:after="20"/>
      </w:pPr>
    </w:p>
    <w:p>
      <w:pPr>
        <w:spacing w:after="120" w:line="276" w:lineRule="auto"/>
      </w:pPr>
      <w:r>
        <w:t>Cada ficha de dimensión explica su alcance, ejemplos de capacidades observadas y preguntas de gobernanza que ayudan a interpretar el nivel de madurez.</w:t>
      </w:r>
    </w:p>
    <w:p>
      <w:pPr>
        <w:pStyle w:val="Heading1"/>
        <w:spacing w:before="280" w:after="120"/>
      </w:pPr>
      <w:r>
        <w:rPr>
          <w:color w:val="0B5EA8"/>
        </w:rPr>
        <w:t>5. Pestaña Contacto</w:t>
      </w:r>
    </w:p>
    <w:p>
      <w:pPr>
        <w:spacing w:after="120" w:line="276" w:lineRule="auto"/>
      </w:pPr>
      <w:r>
        <w:t>Para consultas institucionales, soporte funcional o reporte de inconsistencias utilice el correo: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8F6F0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60"/>
            </w:pPr>
            <w:r>
              <w:rPr>
                <w:b/>
                <w:color w:val="17324D"/>
              </w:rPr>
              <w:t>Coordinación de Transformación Digital UPS</w:t>
            </w:r>
          </w:p>
          <w:p>
            <w:pPr>
              <w:spacing w:after="0"/>
            </w:pPr>
            <w:r>
              <w:rPr>
                <w:sz w:val="21"/>
              </w:rPr>
              <w:t>transformaciondigital@ups.edu.ec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spacing w:before="280" w:after="120"/>
      </w:pPr>
      <w:r>
        <w:rPr>
          <w:color w:val="0B5EA8"/>
        </w:rPr>
        <w:t>6. Acceso autorizado</w:t>
      </w:r>
    </w:p>
    <w:p>
      <w:pPr>
        <w:pStyle w:val="ListNumber"/>
        <w:spacing w:after="80"/>
        <w:ind w:left="346"/>
      </w:pPr>
      <w:r>
        <w:t>Seleccione “Acceso autorizado”.</w:t>
      </w:r>
    </w:p>
    <w:p>
      <w:pPr>
        <w:pStyle w:val="ListNumber"/>
        <w:spacing w:after="80"/>
        <w:ind w:left="346"/>
      </w:pPr>
      <w:r>
        <w:t>Ingrese el correo institucional registrado y su contraseña.</w:t>
      </w:r>
    </w:p>
    <w:p>
      <w:pPr>
        <w:pStyle w:val="ListNumber"/>
        <w:spacing w:after="80"/>
        <w:ind w:left="346"/>
      </w:pPr>
      <w:r>
        <w:t>Presione “Ingresar”.</w:t>
      </w:r>
    </w:p>
    <w:p>
      <w:pPr>
        <w:pStyle w:val="ListNumber"/>
        <w:spacing w:after="80"/>
        <w:ind w:left="346"/>
      </w:pPr>
      <w:r>
        <w:t>Al autenticarse, la plataforma mostrará únicamente las funciones permitidas por su rol.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1656"/>
            <w:shd w:fill="0B5EA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Rol</w:t>
            </w:r>
          </w:p>
        </w:tc>
        <w:tc>
          <w:tcPr>
            <w:tcW w:type="dxa" w:w="4320"/>
            <w:shd w:fill="0B5EA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Puede hacer</w:t>
            </w:r>
          </w:p>
        </w:tc>
        <w:tc>
          <w:tcPr>
            <w:tcW w:type="dxa" w:w="3672"/>
            <w:shd w:fill="0B5EA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 puede hacer</w:t>
            </w:r>
          </w:p>
        </w:tc>
      </w:tr>
      <w:tr>
        <w:tc>
          <w:tcPr>
            <w:tcW w:type="dxa" w:w="165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Responsable</w:t>
            </w:r>
          </w:p>
        </w:tc>
        <w:tc>
          <w:tcPr>
            <w:tcW w:type="dxa" w:w="432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Gestionar iniciativas asignadas, actualizar actividades, justificar cambios, cargar evidencias y consultar auditoría.</w:t>
            </w:r>
          </w:p>
        </w:tc>
        <w:tc>
          <w:tcPr>
            <w:tcW w:type="dxa" w:w="367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Administrar usuarios o editar iniciativas no asignadas.</w:t>
            </w:r>
          </w:p>
        </w:tc>
      </w:tr>
      <w:tr>
        <w:tc>
          <w:tcPr>
            <w:tcW w:type="dxa" w:w="165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Administrador</w:t>
            </w:r>
          </w:p>
        </w:tc>
        <w:tc>
          <w:tcPr>
            <w:tcW w:type="dxa" w:w="432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Gestionar toda la cartera, usuarios, permisos, nuevas iniciativas, evidencias y auditoría.</w:t>
            </w:r>
          </w:p>
        </w:tc>
        <w:tc>
          <w:tcPr>
            <w:tcW w:type="dxa" w:w="367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No existe restricción por iniciativa dentro del módulo administrativo.</w:t>
            </w:r>
          </w:p>
        </w:tc>
      </w:tr>
    </w:tbl>
    <w:p>
      <w:pPr>
        <w:spacing w:after="2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AF3FB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60"/>
            </w:pPr>
            <w:r>
              <w:rPr>
                <w:b/>
                <w:color w:val="17324D"/>
              </w:rPr>
              <w:t>Seguridad de sesión</w:t>
            </w:r>
          </w:p>
          <w:p>
            <w:pPr>
              <w:spacing w:after="0"/>
            </w:pPr>
            <w:r>
              <w:rPr>
                <w:sz w:val="21"/>
              </w:rPr>
              <w:t>La autenticación usa una cookie HTTP-only. No comparta credenciales y cierre sesión en equipos compartidos.</w:t>
            </w:r>
          </w:p>
        </w:tc>
      </w:tr>
    </w:tbl>
    <w:p>
      <w:pPr>
        <w:spacing w:after="20"/>
      </w:pPr>
    </w:p>
    <w:p>
      <w:pPr>
        <w:pStyle w:val="Heading1"/>
        <w:spacing w:before="280" w:after="120"/>
      </w:pPr>
      <w:r>
        <w:rPr>
          <w:color w:val="0B5EA8"/>
        </w:rPr>
        <w:t>7. Gestión de iniciativas</w:t>
      </w:r>
    </w:p>
    <w:p>
      <w:pPr>
        <w:spacing w:after="120" w:line="276" w:lineRule="auto"/>
      </w:pPr>
      <w:r>
        <w:t>Una vez autenticado, ingrese a Gestión. El responsable visualiza solo las iniciativas que le han sido asignadas; el administrador puede consultar toda la cartera.</w:t>
      </w:r>
    </w:p>
    <w:p>
      <w:pPr>
        <w:pStyle w:val="ListBullet"/>
        <w:spacing w:after="60"/>
        <w:ind w:left="346"/>
      </w:pPr>
      <w:r>
        <w:t>Código, objetivo y descripción de la iniciativa.</w:t>
      </w:r>
    </w:p>
    <w:p>
      <w:pPr>
        <w:pStyle w:val="ListBullet"/>
        <w:spacing w:after="60"/>
        <w:ind w:left="346"/>
      </w:pPr>
      <w:r>
        <w:t>Avance reportado y avance verificado.</w:t>
      </w:r>
    </w:p>
    <w:p>
      <w:pPr>
        <w:pStyle w:val="ListBullet"/>
        <w:spacing w:after="60"/>
        <w:ind w:left="346"/>
      </w:pPr>
      <w:r>
        <w:t>Contribuciones a D1-D5.</w:t>
      </w:r>
    </w:p>
    <w:p>
      <w:pPr>
        <w:pStyle w:val="ListBullet"/>
        <w:spacing w:after="60"/>
        <w:ind w:left="346"/>
      </w:pPr>
      <w:r>
        <w:t>Actividades, responsables, fechas, estado y prioridad.</w:t>
      </w:r>
    </w:p>
    <w:p>
      <w:pPr>
        <w:pStyle w:val="ListBullet"/>
        <w:spacing w:after="60"/>
        <w:ind w:left="346"/>
      </w:pPr>
      <w:r>
        <w:t>Evidencias cargadas y auditoría de cambios.</w:t>
      </w:r>
    </w:p>
    <w:p>
      <w:pPr>
        <w:pStyle w:val="Heading1"/>
        <w:spacing w:before="280" w:after="120"/>
      </w:pPr>
      <w:r>
        <w:rPr>
          <w:color w:val="0B5EA8"/>
        </w:rPr>
        <w:t>8. Actualización de una actividad</w:t>
      </w:r>
    </w:p>
    <w:p>
      <w:pPr>
        <w:pStyle w:val="ListNumber"/>
        <w:spacing w:after="80"/>
        <w:ind w:left="346"/>
      </w:pPr>
      <w:r>
        <w:t>Abra la iniciativa.</w:t>
      </w:r>
    </w:p>
    <w:p>
      <w:pPr>
        <w:pStyle w:val="ListNumber"/>
        <w:spacing w:after="80"/>
        <w:ind w:left="346"/>
      </w:pPr>
      <w:r>
        <w:t>Ubique la actividad a actualizar.</w:t>
      </w:r>
    </w:p>
    <w:p>
      <w:pPr>
        <w:pStyle w:val="ListNumber"/>
        <w:spacing w:after="80"/>
        <w:ind w:left="346"/>
      </w:pPr>
      <w:r>
        <w:t>Modifique únicamente los campos necesarios: avance, estado, prioridad, fechas u observación.</w:t>
      </w:r>
    </w:p>
    <w:p>
      <w:pPr>
        <w:pStyle w:val="ListNumber"/>
        <w:spacing w:after="80"/>
        <w:ind w:left="346"/>
      </w:pPr>
      <w:r>
        <w:t>Escriba una justificación clara y verificable.</w:t>
      </w:r>
    </w:p>
    <w:p>
      <w:pPr>
        <w:pStyle w:val="ListNumber"/>
        <w:spacing w:after="80"/>
        <w:ind w:left="346"/>
      </w:pPr>
      <w:r>
        <w:t>Guarde la actualización.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AF3FB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60"/>
            </w:pPr>
            <w:r>
              <w:rPr>
                <w:b/>
                <w:color w:val="17324D"/>
              </w:rPr>
              <w:t>Justificación obligatoria</w:t>
            </w:r>
          </w:p>
          <w:p>
            <w:pPr>
              <w:spacing w:after="0"/>
            </w:pPr>
            <w:r>
              <w:rPr>
                <w:sz w:val="21"/>
              </w:rPr>
              <w:t>La plataforma rechaza cambios sin justificación. La justificación debe explicar por qué cambia el avance o estado y debe poder relacionarse con una evidencia, hito o decisión.</w:t>
            </w:r>
          </w:p>
        </w:tc>
      </w:tr>
    </w:tbl>
    <w:p>
      <w:pPr>
        <w:spacing w:after="20"/>
      </w:pPr>
    </w:p>
    <w:p>
      <w:pPr>
        <w:spacing w:after="120" w:line="276" w:lineRule="auto"/>
      </w:pPr>
      <w:r>
        <w:t>Al guardar se registra usuario, fecha, valores anteriores y nuevos; además se recalcula el avance de la iniciativa a partir de sus actividades con porcentaje numérico.</w:t>
      </w:r>
    </w:p>
    <w:p>
      <w:pPr>
        <w:pStyle w:val="Heading1"/>
        <w:spacing w:before="280" w:after="120"/>
      </w:pPr>
      <w:r>
        <w:rPr>
          <w:color w:val="0B5EA8"/>
        </w:rPr>
        <w:t>9. Carga de evidencias</w:t>
      </w:r>
    </w:p>
    <w:p>
      <w:pPr>
        <w:spacing w:after="120" w:line="276" w:lineRule="auto"/>
      </w:pPr>
      <w:r>
        <w:t>Cada actividad puede almacenar evidencias. El repositorio mantiene la relación entre archivo, actividad, iniciativa, usuario y fecha de carga.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2592"/>
            <w:shd w:fill="0B5EA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type="dxa" w:w="7056"/>
            <w:shd w:fill="0B5EA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Extensiones habituales</w:t>
            </w:r>
          </w:p>
        </w:tc>
      </w:tr>
      <w:tr>
        <w:tc>
          <w:tcPr>
            <w:tcW w:type="dxa" w:w="259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Documentos</w:t>
            </w:r>
          </w:p>
        </w:tc>
        <w:tc>
          <w:tcPr>
            <w:tcW w:type="dxa" w:w="705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PDF, DOC, DOCX</w:t>
            </w:r>
          </w:p>
        </w:tc>
      </w:tr>
      <w:tr>
        <w:tc>
          <w:tcPr>
            <w:tcW w:type="dxa" w:w="259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Hojas de cálculo</w:t>
            </w:r>
          </w:p>
        </w:tc>
        <w:tc>
          <w:tcPr>
            <w:tcW w:type="dxa" w:w="705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XLS, XLSX, CSV</w:t>
            </w:r>
          </w:p>
        </w:tc>
      </w:tr>
      <w:tr>
        <w:tc>
          <w:tcPr>
            <w:tcW w:type="dxa" w:w="259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Presentaciones</w:t>
            </w:r>
          </w:p>
        </w:tc>
        <w:tc>
          <w:tcPr>
            <w:tcW w:type="dxa" w:w="705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PPT, PPTX</w:t>
            </w:r>
          </w:p>
        </w:tc>
      </w:tr>
      <w:tr>
        <w:tc>
          <w:tcPr>
            <w:tcW w:type="dxa" w:w="259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Imágenes</w:t>
            </w:r>
          </w:p>
        </w:tc>
        <w:tc>
          <w:tcPr>
            <w:tcW w:type="dxa" w:w="705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PNG, JPG, JPEG, WEBP</w:t>
            </w:r>
          </w:p>
        </w:tc>
      </w:tr>
      <w:tr>
        <w:tc>
          <w:tcPr>
            <w:tcW w:type="dxa" w:w="259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Otros</w:t>
            </w:r>
          </w:p>
        </w:tc>
        <w:tc>
          <w:tcPr>
            <w:tcW w:type="dxa" w:w="705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TXT, ZIP</w:t>
            </w:r>
          </w:p>
        </w:tc>
      </w:tr>
    </w:tbl>
    <w:p>
      <w:pPr>
        <w:spacing w:after="20"/>
      </w:pPr>
    </w:p>
    <w:p>
      <w:pPr>
        <w:spacing w:after="120" w:line="276" w:lineRule="auto"/>
      </w:pPr>
      <w:r>
        <w:t>El límite por defecto es 20 MB por archivo. Este valor puede modificarse en la configuración del servidor.</w:t>
      </w:r>
    </w:p>
    <w:p>
      <w:pPr>
        <w:pStyle w:val="ListNumber"/>
        <w:spacing w:after="80"/>
        <w:ind w:left="346"/>
      </w:pPr>
      <w:r>
        <w:t>Seleccione la actividad.</w:t>
      </w:r>
    </w:p>
    <w:p>
      <w:pPr>
        <w:pStyle w:val="ListNumber"/>
        <w:spacing w:after="80"/>
        <w:ind w:left="346"/>
      </w:pPr>
      <w:r>
        <w:t>Elija el archivo.</w:t>
      </w:r>
    </w:p>
    <w:p>
      <w:pPr>
        <w:pStyle w:val="ListNumber"/>
        <w:spacing w:after="80"/>
        <w:ind w:left="346"/>
      </w:pPr>
      <w:r>
        <w:t>Escriba una descripción de lo que demuestra la evidencia.</w:t>
      </w:r>
    </w:p>
    <w:p>
      <w:pPr>
        <w:pStyle w:val="ListNumber"/>
        <w:spacing w:after="80"/>
        <w:ind w:left="346"/>
      </w:pPr>
      <w:r>
        <w:t>Cargue el archivo y confirme que aparece en el listado.</w:t>
      </w:r>
    </w:p>
    <w:p>
      <w:r>
        <w:br w:type="page"/>
      </w:r>
    </w:p>
    <w:p>
      <w:pPr>
        <w:pStyle w:val="Heading1"/>
        <w:spacing w:before="280" w:after="120"/>
      </w:pPr>
      <w:r>
        <w:rPr>
          <w:color w:val="0B5EA8"/>
        </w:rPr>
        <w:t>10. Auditoría</w:t>
      </w:r>
    </w:p>
    <w:p>
      <w:pPr>
        <w:spacing w:after="120" w:line="276" w:lineRule="auto"/>
      </w:pPr>
      <w:r>
        <w:t>La auditoría conserva el historial de modificaciones y evidencias. Debe considerarse parte de la trazabilidad institucional y no una sección de edición libre.</w:t>
      </w:r>
    </w:p>
    <w:p>
      <w:pPr>
        <w:pStyle w:val="ListBullet"/>
        <w:spacing w:after="60"/>
        <w:ind w:left="346"/>
      </w:pPr>
      <w:r>
        <w:t>avance anterior y nuevo;</w:t>
      </w:r>
    </w:p>
    <w:p>
      <w:pPr>
        <w:pStyle w:val="ListBullet"/>
        <w:spacing w:after="60"/>
        <w:ind w:left="346"/>
      </w:pPr>
      <w:r>
        <w:t>estado anterior y nuevo;</w:t>
      </w:r>
    </w:p>
    <w:p>
      <w:pPr>
        <w:pStyle w:val="ListBullet"/>
        <w:spacing w:after="60"/>
        <w:ind w:left="346"/>
      </w:pPr>
      <w:r>
        <w:t>justificación;</w:t>
      </w:r>
    </w:p>
    <w:p>
      <w:pPr>
        <w:pStyle w:val="ListBullet"/>
        <w:spacing w:after="60"/>
        <w:ind w:left="346"/>
      </w:pPr>
      <w:r>
        <w:t>usuario responsable;</w:t>
      </w:r>
    </w:p>
    <w:p>
      <w:pPr>
        <w:pStyle w:val="ListBullet"/>
        <w:spacing w:after="60"/>
        <w:ind w:left="346"/>
      </w:pPr>
      <w:r>
        <w:t>fecha y hora;</w:t>
      </w:r>
    </w:p>
    <w:p>
      <w:pPr>
        <w:pStyle w:val="ListBullet"/>
        <w:spacing w:after="60"/>
        <w:ind w:left="346"/>
      </w:pPr>
      <w:r>
        <w:t>evidencias asociadas.</w:t>
      </w:r>
    </w:p>
    <w:p>
      <w:pPr>
        <w:pStyle w:val="Heading1"/>
        <w:spacing w:before="280" w:after="120"/>
      </w:pPr>
      <w:r>
        <w:rPr>
          <w:color w:val="0B5EA8"/>
        </w:rPr>
        <w:t>11. Administración de usuarios</w:t>
      </w:r>
    </w:p>
    <w:p>
      <w:pPr>
        <w:spacing w:after="120" w:line="276" w:lineRule="auto"/>
      </w:pPr>
      <w:r>
        <w:t>Disponible únicamente para administradores.</w:t>
      </w:r>
    </w:p>
    <w:p>
      <w:pPr>
        <w:pStyle w:val="ListNumber"/>
        <w:spacing w:after="80"/>
        <w:ind w:left="346"/>
      </w:pPr>
      <w:r>
        <w:t>Abra Gestión -&gt; Usuarios.</w:t>
      </w:r>
    </w:p>
    <w:p>
      <w:pPr>
        <w:pStyle w:val="ListNumber"/>
        <w:spacing w:after="80"/>
        <w:ind w:left="346"/>
      </w:pPr>
      <w:r>
        <w:t>Registre nombre y correo.</w:t>
      </w:r>
    </w:p>
    <w:p>
      <w:pPr>
        <w:pStyle w:val="ListNumber"/>
        <w:spacing w:after="80"/>
        <w:ind w:left="346"/>
      </w:pPr>
      <w:r>
        <w:t>Asigne una contraseña inicial segura.</w:t>
      </w:r>
    </w:p>
    <w:p>
      <w:pPr>
        <w:pStyle w:val="ListNumber"/>
        <w:spacing w:after="80"/>
        <w:ind w:left="346"/>
      </w:pPr>
      <w:r>
        <w:t>Seleccione rol Administrador o Responsable.</w:t>
      </w:r>
    </w:p>
    <w:p>
      <w:pPr>
        <w:pStyle w:val="ListNumber"/>
        <w:spacing w:after="80"/>
        <w:ind w:left="346"/>
      </w:pPr>
      <w:r>
        <w:t>Para Responsables, seleccione las iniciativas que podrán editar.</w:t>
      </w:r>
    </w:p>
    <w:p>
      <w:pPr>
        <w:pStyle w:val="ListNumber"/>
        <w:spacing w:after="80"/>
        <w:ind w:left="346"/>
      </w:pPr>
      <w:r>
        <w:t>Guarde y comunique las credenciales iniciales por un canal seguro.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AF3FB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60"/>
            </w:pPr>
            <w:r>
              <w:rPr>
                <w:b/>
                <w:color w:val="17324D"/>
              </w:rPr>
              <w:t>Recomendación</w:t>
            </w:r>
          </w:p>
          <w:p>
            <w:pPr>
              <w:spacing w:after="0"/>
            </w:pPr>
            <w:r>
              <w:rPr>
                <w:sz w:val="21"/>
              </w:rPr>
              <w:t>Solicite que la contraseña inicial sea cambiada en el primer acceso. Desactive cuentas que ya no requieran acceso.</w:t>
            </w:r>
          </w:p>
        </w:tc>
      </w:tr>
    </w:tbl>
    <w:p>
      <w:pPr>
        <w:spacing w:after="20"/>
      </w:pPr>
    </w:p>
    <w:p>
      <w:pPr>
        <w:pStyle w:val="Heading1"/>
        <w:spacing w:before="280" w:after="120"/>
      </w:pPr>
      <w:r>
        <w:rPr>
          <w:color w:val="0B5EA8"/>
        </w:rPr>
        <w:t>12. Creación de nuevas iniciativas</w:t>
      </w:r>
    </w:p>
    <w:p>
      <w:pPr>
        <w:spacing w:after="120" w:line="276" w:lineRule="auto"/>
      </w:pPr>
      <w:r>
        <w:t>La plantilla se alinea con el formato de la cartera institucional y añade los campos requeridos por el modelo D1-D5/O1-O5.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2016"/>
            <w:shd w:fill="0B5EA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Grupo</w:t>
            </w:r>
          </w:p>
        </w:tc>
        <w:tc>
          <w:tcPr>
            <w:tcW w:type="dxa" w:w="7632"/>
            <w:shd w:fill="0B5EA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Campos</w:t>
            </w:r>
          </w:p>
        </w:tc>
      </w:tr>
      <w:tr>
        <w:tc>
          <w:tcPr>
            <w:tcW w:type="dxa" w:w="201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Identificación</w:t>
            </w:r>
          </w:p>
        </w:tc>
        <w:tc>
          <w:tcPr>
            <w:tcW w:type="dxa" w:w="763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Código, objetivo O1-O5, ámbito, descripción, estado.</w:t>
            </w:r>
          </w:p>
        </w:tc>
      </w:tr>
      <w:tr>
        <w:tc>
          <w:tcPr>
            <w:tcW w:type="dxa" w:w="201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Liderazgo</w:t>
            </w:r>
          </w:p>
        </w:tc>
        <w:tc>
          <w:tcPr>
            <w:tcW w:type="dxa" w:w="763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Nombre y correo del líder.</w:t>
            </w:r>
          </w:p>
        </w:tc>
      </w:tr>
      <w:tr>
        <w:tc>
          <w:tcPr>
            <w:tcW w:type="dxa" w:w="201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Modelo TD</w:t>
            </w:r>
          </w:p>
        </w:tc>
        <w:tc>
          <w:tcPr>
            <w:tcW w:type="dxa" w:w="763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Contribuciones D1-D5 en escala 0-3.</w:t>
            </w:r>
          </w:p>
        </w:tc>
      </w:tr>
      <w:tr>
        <w:tc>
          <w:tcPr>
            <w:tcW w:type="dxa" w:w="201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Actividades</w:t>
            </w:r>
          </w:p>
        </w:tc>
        <w:tc>
          <w:tcPr>
            <w:tcW w:type="dxa" w:w="763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Id, actividad, fechas, avance, responsable, estado, prioridad, In y observación.</w:t>
            </w:r>
          </w:p>
        </w:tc>
      </w:tr>
    </w:tbl>
    <w:p>
      <w:pPr>
        <w:spacing w:after="20"/>
      </w:pPr>
    </w:p>
    <w:p>
      <w:pPr>
        <w:pStyle w:val="ListNumber"/>
        <w:spacing w:after="80"/>
        <w:ind w:left="346"/>
      </w:pPr>
      <w:r>
        <w:t>Abra Gestión -&gt; Nueva iniciativa.</w:t>
      </w:r>
    </w:p>
    <w:p>
      <w:pPr>
        <w:pStyle w:val="ListNumber"/>
        <w:spacing w:after="80"/>
        <w:ind w:left="346"/>
      </w:pPr>
      <w:r>
        <w:t>Complete identificación, objetivo y ámbito.</w:t>
      </w:r>
    </w:p>
    <w:p>
      <w:pPr>
        <w:pStyle w:val="ListNumber"/>
        <w:spacing w:after="80"/>
        <w:ind w:left="346"/>
      </w:pPr>
      <w:r>
        <w:t>Defina líder y correo.</w:t>
      </w:r>
    </w:p>
    <w:p>
      <w:pPr>
        <w:pStyle w:val="ListNumber"/>
        <w:spacing w:after="80"/>
        <w:ind w:left="346"/>
      </w:pPr>
      <w:r>
        <w:t>Asigne nivel de contribución 0-3 para cada dimensión.</w:t>
      </w:r>
    </w:p>
    <w:p>
      <w:pPr>
        <w:pStyle w:val="ListNumber"/>
        <w:spacing w:after="80"/>
        <w:ind w:left="346"/>
      </w:pPr>
      <w:r>
        <w:t>Agregue las actividades iniciales.</w:t>
      </w:r>
    </w:p>
    <w:p>
      <w:pPr>
        <w:pStyle w:val="ListNumber"/>
        <w:spacing w:after="80"/>
        <w:ind w:left="346"/>
      </w:pPr>
      <w:r>
        <w:t>Revise fechas y responsables.</w:t>
      </w:r>
    </w:p>
    <w:p>
      <w:pPr>
        <w:pStyle w:val="ListNumber"/>
        <w:spacing w:after="80"/>
        <w:ind w:left="346"/>
      </w:pPr>
      <w:r>
        <w:t>Cree la iniciativa.</w:t>
      </w:r>
    </w:p>
    <w:p>
      <w:pPr>
        <w:pStyle w:val="ListNumber"/>
        <w:spacing w:after="80"/>
        <w:ind w:left="346"/>
      </w:pPr>
      <w:r>
        <w:t>Cargue evidencias desde Gestión cuando estén disponibles.</w:t>
      </w:r>
    </w:p>
    <w:p>
      <w:pPr>
        <w:pStyle w:val="Heading1"/>
        <w:spacing w:before="280" w:after="120"/>
      </w:pPr>
      <w:r>
        <w:rPr>
          <w:color w:val="0B5EA8"/>
        </w:rPr>
        <w:t>13. Pronóstico por cronograma</w:t>
      </w:r>
    </w:p>
    <w:p>
      <w:pPr>
        <w:spacing w:after="120" w:line="276" w:lineRule="auto"/>
      </w:pPr>
      <w:r>
        <w:t>La versión 3.1 incluye una línea base que responde: “¿Qué madurez alcanzaría la UPS si se cumplen los cronogramas registrados?”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AF3FB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60"/>
            </w:pPr>
            <w:r>
              <w:rPr>
                <w:b/>
                <w:color w:val="17324D"/>
              </w:rPr>
              <w:t>No es IA</w:t>
            </w:r>
          </w:p>
          <w:p>
            <w:pPr>
              <w:spacing w:after="0"/>
            </w:pPr>
            <w:r>
              <w:rPr>
                <w:sz w:val="21"/>
              </w:rPr>
              <w:t>El escenario actual es determinista. Las actividades con fecha fin progresan desde su avance actual hasta 100% en la fecha comprometida; las actividades sin fecha fin mantienen el avance actual.</w:t>
            </w:r>
          </w:p>
        </w:tc>
      </w:tr>
    </w:tbl>
    <w:p>
      <w:pPr>
        <w:spacing w:after="20"/>
      </w:pPr>
    </w:p>
    <w:p>
      <w:pPr>
        <w:spacing w:after="120" w:line="276" w:lineRule="auto"/>
      </w:pPr>
      <w:r>
        <w:t>El escenario recalcula IGMD e IGTD para la fecha objetivo y muestra variaciones por dimensión. Sirve como referencia auditable antes de incorporar un modelo probabilístico de IA.</w:t>
      </w:r>
    </w:p>
    <w:p>
      <w:pPr>
        <w:pStyle w:val="Heading1"/>
        <w:spacing w:before="280" w:after="120"/>
      </w:pPr>
      <w:r>
        <w:rPr>
          <w:color w:val="0B5EA8"/>
        </w:rPr>
        <w:t>14. Documentación de APIs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3168"/>
            <w:shd w:fill="0B5EA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Recurso</w:t>
            </w:r>
          </w:p>
        </w:tc>
        <w:tc>
          <w:tcPr>
            <w:tcW w:type="dxa" w:w="6480"/>
            <w:shd w:fill="0B5EA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Ruta</w:t>
            </w:r>
          </w:p>
        </w:tc>
      </w:tr>
      <w:tr>
        <w:tc>
          <w:tcPr>
            <w:tcW w:type="dxa" w:w="31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Swagger UI</w:t>
            </w:r>
          </w:p>
        </w:tc>
        <w:tc>
          <w:tcPr>
            <w:tcW w:type="dxa" w:w="64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/docs</w:t>
            </w:r>
          </w:p>
        </w:tc>
      </w:tr>
      <w:tr>
        <w:tc>
          <w:tcPr>
            <w:tcW w:type="dxa" w:w="31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ReDoc</w:t>
            </w:r>
          </w:p>
        </w:tc>
        <w:tc>
          <w:tcPr>
            <w:tcW w:type="dxa" w:w="64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/redoc</w:t>
            </w:r>
          </w:p>
        </w:tc>
      </w:tr>
      <w:tr>
        <w:tc>
          <w:tcPr>
            <w:tcW w:type="dxa" w:w="31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OpenAPI JSON</w:t>
            </w:r>
          </w:p>
        </w:tc>
        <w:tc>
          <w:tcPr>
            <w:tcW w:type="dxa" w:w="64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/openapi.json</w:t>
            </w:r>
          </w:p>
        </w:tc>
      </w:tr>
      <w:tr>
        <w:tc>
          <w:tcPr>
            <w:tcW w:type="dxa" w:w="31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Diccionario ejecutable</w:t>
            </w:r>
          </w:p>
        </w:tc>
        <w:tc>
          <w:tcPr>
            <w:tcW w:type="dxa" w:w="64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/api/v1/catalog</w:t>
            </w:r>
          </w:p>
        </w:tc>
      </w:tr>
      <w:tr>
        <w:tc>
          <w:tcPr>
            <w:tcW w:type="dxa" w:w="31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Prefijo canónico</w:t>
            </w:r>
          </w:p>
        </w:tc>
        <w:tc>
          <w:tcPr>
            <w:tcW w:type="dxa" w:w="64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/api/v1</w:t>
            </w:r>
          </w:p>
        </w:tc>
      </w:tr>
    </w:tbl>
    <w:p>
      <w:pPr>
        <w:spacing w:after="20"/>
      </w:pPr>
    </w:p>
    <w:p>
      <w:pPr>
        <w:spacing w:after="120" w:line="276" w:lineRule="auto"/>
      </w:pPr>
      <w:r>
        <w:t>El frontend consume exclusivamente /api/v1. Las rutas antiguas /api se mantienen temporalmente para compatibilidad, pero no aparecen en el contrato OpenAPI publicado.</w:t>
      </w:r>
    </w:p>
    <w:p>
      <w:r>
        <w:br w:type="page"/>
      </w:r>
    </w:p>
    <w:p>
      <w:pPr>
        <w:pStyle w:val="Heading1"/>
        <w:spacing w:before="280" w:after="120"/>
      </w:pPr>
      <w:r>
        <w:rPr>
          <w:color w:val="0B5EA8"/>
        </w:rPr>
        <w:t>15. Buenas prácticas de uso</w:t>
      </w:r>
    </w:p>
    <w:p>
      <w:pPr>
        <w:pStyle w:val="ListBullet"/>
        <w:spacing w:after="60"/>
        <w:ind w:left="346"/>
      </w:pPr>
      <w:r>
        <w:t>Actualice el avance únicamente con evidencia o justificación clara.</w:t>
      </w:r>
    </w:p>
    <w:p>
      <w:pPr>
        <w:pStyle w:val="ListBullet"/>
        <w:spacing w:after="60"/>
        <w:ind w:left="346"/>
      </w:pPr>
      <w:r>
        <w:t>No utilice 100% si existen entregables pendientes.</w:t>
      </w:r>
    </w:p>
    <w:p>
      <w:pPr>
        <w:pStyle w:val="ListBullet"/>
        <w:spacing w:after="60"/>
        <w:ind w:left="346"/>
      </w:pPr>
      <w:r>
        <w:t>Mantenga fechas de inicio y fin consistentes.</w:t>
      </w:r>
    </w:p>
    <w:p>
      <w:pPr>
        <w:pStyle w:val="ListBullet"/>
        <w:spacing w:after="60"/>
        <w:ind w:left="346"/>
      </w:pPr>
      <w:r>
        <w:t>Documente reprogramaciones y dependencias en observaciones.</w:t>
      </w:r>
    </w:p>
    <w:p>
      <w:pPr>
        <w:pStyle w:val="ListBullet"/>
        <w:spacing w:after="60"/>
        <w:ind w:left="346"/>
      </w:pPr>
      <w:r>
        <w:t>Adjunte evidencias con nombres descriptivos.</w:t>
      </w:r>
    </w:p>
    <w:p>
      <w:pPr>
        <w:pStyle w:val="ListBullet"/>
        <w:spacing w:after="60"/>
        <w:ind w:left="346"/>
      </w:pPr>
      <w:r>
        <w:t>No comparta credenciales.</w:t>
      </w:r>
    </w:p>
    <w:p>
      <w:pPr>
        <w:pStyle w:val="ListBullet"/>
        <w:spacing w:after="60"/>
        <w:ind w:left="346"/>
      </w:pPr>
      <w:r>
        <w:t>Cierre sesión en equipos compartidos.</w:t>
      </w:r>
    </w:p>
    <w:p>
      <w:pPr>
        <w:pStyle w:val="ListBullet"/>
        <w:spacing w:after="60"/>
        <w:ind w:left="346"/>
      </w:pPr>
      <w:r>
        <w:t>Reporte inconsistencias a transformaciondigital@ups.edu.ec.</w:t>
      </w:r>
    </w:p>
    <w:p>
      <w:pPr>
        <w:pStyle w:val="Heading1"/>
        <w:spacing w:before="280" w:after="120"/>
      </w:pPr>
      <w:r>
        <w:rPr>
          <w:color w:val="0B5EA8"/>
        </w:rPr>
        <w:t>16. Solución de problemas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2736"/>
            <w:shd w:fill="0B5EA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Situación</w:t>
            </w:r>
          </w:p>
        </w:tc>
        <w:tc>
          <w:tcPr>
            <w:tcW w:type="dxa" w:w="6912"/>
            <w:shd w:fill="0B5EA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Qué revisar</w:t>
            </w:r>
          </w:p>
        </w:tc>
      </w:tr>
      <w:tr>
        <w:tc>
          <w:tcPr>
            <w:tcW w:type="dxa" w:w="273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No puedo iniciar sesión</w:t>
            </w:r>
          </w:p>
        </w:tc>
        <w:tc>
          <w:tcPr>
            <w:tcW w:type="dxa" w:w="691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Correo, contraseña, estado de la cuenta. Contacte a la Coordinación si requiere restablecimiento.</w:t>
            </w:r>
          </w:p>
        </w:tc>
      </w:tr>
      <w:tr>
        <w:tc>
          <w:tcPr>
            <w:tcW w:type="dxa" w:w="273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No veo una iniciativa</w:t>
            </w:r>
          </w:p>
        </w:tc>
        <w:tc>
          <w:tcPr>
            <w:tcW w:type="dxa" w:w="691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Los responsables solo ven iniciativas asignadas. Solicite revisión de permisos.</w:t>
            </w:r>
          </w:p>
        </w:tc>
      </w:tr>
      <w:tr>
        <w:tc>
          <w:tcPr>
            <w:tcW w:type="dxa" w:w="273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No puedo guardar una actividad</w:t>
            </w:r>
          </w:p>
        </w:tc>
        <w:tc>
          <w:tcPr>
            <w:tcW w:type="dxa" w:w="691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Justificación, avance 0-100, estado/prioridad válidos y fechas consistentes.</w:t>
            </w:r>
          </w:p>
        </w:tc>
      </w:tr>
      <w:tr>
        <w:tc>
          <w:tcPr>
            <w:tcW w:type="dxa" w:w="273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No puedo subir un archivo</w:t>
            </w:r>
          </w:p>
        </w:tc>
        <w:tc>
          <w:tcPr>
            <w:tcW w:type="dxa" w:w="691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Extensión permitida y tamaño máximo configurado.</w:t>
            </w:r>
          </w:p>
        </w:tc>
      </w:tr>
      <w:tr>
        <w:tc>
          <w:tcPr>
            <w:tcW w:type="dxa" w:w="273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El índice cambia poco o no cambia</w:t>
            </w:r>
          </w:p>
        </w:tc>
        <w:tc>
          <w:tcPr>
            <w:tcW w:type="dxa" w:w="691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Revise contribución I(i,d), avance analítico y componentes estratégicos/operativos del modelo.</w:t>
            </w:r>
          </w:p>
        </w:tc>
      </w:tr>
    </w:tbl>
    <w:p>
      <w:pPr>
        <w:spacing w:after="20"/>
      </w:pPr>
    </w:p>
    <w:p>
      <w:pPr>
        <w:pStyle w:val="Heading1"/>
        <w:spacing w:before="280" w:after="120"/>
      </w:pPr>
      <w:r>
        <w:rPr>
          <w:color w:val="0B5EA8"/>
        </w:rPr>
        <w:t>17. Contacto y soporte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8F6F0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60"/>
            </w:pPr>
            <w:r>
              <w:rPr>
                <w:b/>
                <w:color w:val="17324D"/>
              </w:rPr>
              <w:t>Coordinación de Transformación Digital UPS</w:t>
            </w:r>
          </w:p>
          <w:p>
            <w:pPr>
              <w:spacing w:after="0"/>
            </w:pPr>
            <w:r>
              <w:rPr>
                <w:sz w:val="21"/>
              </w:rPr>
              <w:t>Correo: transformaciondigital@ups.edu.ec</w:t>
            </w:r>
          </w:p>
        </w:tc>
      </w:tr>
    </w:tbl>
    <w:p>
      <w:pPr>
        <w:spacing w:after="20"/>
      </w:pPr>
    </w:p>
    <w:p>
      <w:pPr>
        <w:spacing w:after="120" w:line="276" w:lineRule="auto"/>
      </w:pPr>
      <w:r>
        <w:t>Al solicitar soporte, indique la iniciativa, actividad, acción realizada y mensaje observado. No envíe contraseñas por correo.</w:t>
      </w:r>
    </w:p>
    <w:sectPr w:rsidR="00FC693F" w:rsidRPr="0006063C" w:rsidSect="00034616">
      <w:footerReference w:type="default" r:id="rId9"/>
      <w:pgSz w:w="12240" w:h="15840"/>
      <w:pgMar w:top="1080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color w:val="5F6B76"/>
        <w:sz w:val="17"/>
      </w:rPr>
      <w:t>Observatorio de Transformación Digital UPS · Manual de Usuario v3.1</w:t>
    </w:r>
  </w:p>
  <w:p>
    <w:pPr>
      <w:jc w:val="right"/>
    </w:pPr>
    <w:r>
      <w:rPr>
        <w:color w:val="5F6B76"/>
        <w:sz w:val="18"/>
      </w:rPr>
      <w:t xml:space="preserve">Página </w:t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