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Eval: Investment committee decks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from an interview with Jeremie Saiman, Principal. Sample deck used: Project Meridian (synthetic).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Disqualifier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one of these is an automatic fail, whatever else is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Contradictory figures. </w:t>
      </w:r>
      <w:r>
        <w:rPr>
          <w:rFonts w:ascii="Arial" w:cs="Arial" w:eastAsia="Arial" w:hAnsi="Arial"/>
          <w:sz w:val="22"/>
          <w:szCs w:val="22"/>
        </w:rPr>
        <w:t xml:space="preserve">Headline figures disagree between slides (for example LTM EBITDA, enterprise value, multiple, revenue or growth).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Must-haves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are needed to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Recommendation and ask. </w:t>
      </w:r>
      <w:r>
        <w:rPr>
          <w:rFonts w:ascii="Arial" w:cs="Arial" w:eastAsia="Arial" w:hAnsi="Arial"/>
          <w:sz w:val="22"/>
          <w:szCs w:val="22"/>
        </w:rPr>
        <w:t xml:space="preserve">A clear, unhedged recommendation and a specific ask (bid level, DD spend, next step).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Business overview and backed thesis. </w:t>
      </w:r>
      <w:r>
        <w:rPr>
          <w:rFonts w:ascii="Arial" w:cs="Arial" w:eastAsia="Arial" w:hAnsi="Arial"/>
          <w:sz w:val="22"/>
          <w:szCs w:val="22"/>
        </w:rPr>
        <w:t xml:space="preserve">An overview that someone who does not know the company can follow, and a thesis whose main claims are each supported by data later in the deck.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Material risks. </w:t>
      </w:r>
      <w:r>
        <w:rPr>
          <w:rFonts w:ascii="Arial" w:cs="Arial" w:eastAsia="Arial" w:hAnsi="Arial"/>
          <w:sz w:val="22"/>
          <w:szCs w:val="22"/>
        </w:rPr>
        <w:t xml:space="preserve">All material risks are covered, including any the deck itself raises elsewhere. Each has a mitigation tied to a diligence workstream.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Nice-to-haves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Scored, but they do not gate the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Concise and simple. </w:t>
      </w:r>
      <w:r>
        <w:rPr>
          <w:rFonts w:ascii="Arial" w:cs="Arial" w:eastAsia="Arial" w:hAnsi="Arial"/>
          <w:sz w:val="22"/>
          <w:szCs w:val="22"/>
        </w:rPr>
        <w:t xml:space="preserve">Short, one message per slide, no unnecessary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Evidence and judgement. </w:t>
      </w:r>
      <w:r>
        <w:rPr>
          <w:rFonts w:ascii="Arial" w:cs="Arial" w:eastAsia="Arial" w:hAnsi="Arial"/>
          <w:sz w:val="22"/>
          <w:szCs w:val="22"/>
        </w:rPr>
        <w:t xml:space="preserve">Key claims sourced independently (not only seller materials), a returns case with sensitivities, and a reasoned view on why we can win and why the price is right.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Meridian as submitted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 2 shows LTM EBITDA of £30m (14.0x on £420m EV). Slide 5 starts the EBITDA bridge at £27m (about 15.6x on the same EV).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 on the disqualifier, even though the recommendation, thesis and ask are otherwise clear.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B: Meridian with figures fixed, risks unchanged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 7 flags customer concentration (top 10 customers at 31%), UK reliance (c.78%), an abandoned German pilot and founder succession. Slide 8 lists only two key risks.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the disqualifier. Fail must-have 3 for leaving material risks out.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 Clean control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short deck with consistent figures, a clear ask, sourced claims, a full risk and mitigation table and a returns case with sensitivities.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everything. Checks that the eval does not fail good decks.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Notes and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extraction of the sample deck only picked up slides 1 to 8. Slide 9 onwards may hold charts or content that has not been reviewed, so check Cases A and B against the full deck.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Disqualifier ranking from the interview: contradictory figures were named as the worst subtle failure, followed by vague mitigations. Omitted risks and excess complexity were also named as serious, so they sit in must-have 3 and nice-to-have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2026-10-15T11:12:28.178Z</dcterms:created>
  <dcterms:modified xsi:type="dcterms:W3CDTF">2026-10-15T11:12:28.189Z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