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4F05A" w14:textId="247A7C84" w:rsidR="0026166A" w:rsidRDefault="0026166A">
      <w:bookmarkStart w:id="0" w:name="_Hlk228088617"/>
      <w:r>
        <w:t>EVOLUCIÓN SECTORIAL</w:t>
      </w:r>
    </w:p>
    <w:bookmarkEnd w:id="0"/>
    <w:p w14:paraId="67C3C611" w14:textId="77777777" w:rsidR="0026166A" w:rsidRDefault="0026166A">
      <w:r w:rsidRPr="0026166A">
        <w:t xml:space="preserve">Índice de la Producción Agropecuaria </w:t>
      </w:r>
    </w:p>
    <w:p w14:paraId="5C4B3BF6" w14:textId="6BBA5E62" w:rsidR="0034678C" w:rsidRDefault="0026166A">
      <w:r w:rsidRPr="0026166A">
        <w:t>Año base 2007</w:t>
      </w:r>
    </w:p>
    <w:p w14:paraId="49CA2334" w14:textId="77777777" w:rsidR="0026166A" w:rsidRDefault="0026166A" w:rsidP="0026166A">
      <w:pPr>
        <w:pStyle w:val="Prrafodelista"/>
        <w:numPr>
          <w:ilvl w:val="0"/>
          <w:numId w:val="1"/>
        </w:numPr>
        <w:jc w:val="both"/>
      </w:pPr>
      <w:r w:rsidRPr="0026166A">
        <w:t>En febrero 2026, el Índice de la Producción Agropecuaria registró crecimiento de 0,71% respecto a febrero 2025, como resultado de la mayor producción del subsector pecuario.</w:t>
      </w:r>
    </w:p>
    <w:p w14:paraId="13D38E9D" w14:textId="6AB56BC3" w:rsidR="0026166A" w:rsidRDefault="0026166A" w:rsidP="0026166A">
      <w:pPr>
        <w:pStyle w:val="Prrafodelista"/>
        <w:numPr>
          <w:ilvl w:val="0"/>
          <w:numId w:val="1"/>
        </w:numPr>
        <w:jc w:val="both"/>
      </w:pPr>
      <w:r w:rsidRPr="0026166A">
        <w:t>Sin embargo, registró disminución la producción agrícola en cultivos de hortalizas, frutas y tubérculos</w:t>
      </w:r>
      <w:r>
        <w:t>.</w:t>
      </w:r>
    </w:p>
    <w:p w14:paraId="4954264D" w14:textId="4B7E149A" w:rsidR="0026166A" w:rsidRDefault="0026166A" w:rsidP="0026166A">
      <w:pPr>
        <w:jc w:val="both"/>
      </w:pPr>
      <w:r w:rsidRPr="0026166A">
        <w:t>Variación interanual del Índice de la Producción Agropecuaria</w:t>
      </w:r>
    </w:p>
    <w:p w14:paraId="063D3E15" w14:textId="5BD465A3" w:rsidR="0026166A" w:rsidRDefault="0026166A" w:rsidP="0026166A">
      <w:pPr>
        <w:jc w:val="both"/>
      </w:pPr>
      <w:r>
        <w:t>La variación de 0,71% registrada en febrero 2026</w:t>
      </w:r>
      <w:r>
        <w:t xml:space="preserve"> </w:t>
      </w:r>
      <w:r>
        <w:t>fue determinada por el avance del subsector</w:t>
      </w:r>
      <w:r>
        <w:t xml:space="preserve"> </w:t>
      </w:r>
      <w:r>
        <w:t>pecuario en 1,84% con una contribución de 0,78</w:t>
      </w:r>
      <w:r>
        <w:t xml:space="preserve"> </w:t>
      </w:r>
      <w:r>
        <w:t>puntos porcentuales en el índice global del sector;</w:t>
      </w:r>
      <w:r>
        <w:t xml:space="preserve"> </w:t>
      </w:r>
      <w:r>
        <w:t>mientras que, el subsector agrícola disminuyó</w:t>
      </w:r>
      <w:r>
        <w:t xml:space="preserve"> </w:t>
      </w:r>
      <w:r>
        <w:t>en 0,13% con una incidencia de -0,08 puntos</w:t>
      </w:r>
      <w:r>
        <w:t xml:space="preserve"> </w:t>
      </w:r>
      <w:r>
        <w:t>porcentuales al total.</w:t>
      </w:r>
    </w:p>
    <w:p w14:paraId="1DF9BFE4" w14:textId="4C48EB75" w:rsidR="0026166A" w:rsidRDefault="0026166A" w:rsidP="0026166A">
      <w:pPr>
        <w:jc w:val="both"/>
      </w:pPr>
      <w:r>
        <w:t>La actividad pecuaria mostró aumento en la</w:t>
      </w:r>
      <w:r>
        <w:t xml:space="preserve"> </w:t>
      </w:r>
      <w:r>
        <w:t>producción de ave 1,81%, leche fresca 2,42%,</w:t>
      </w:r>
      <w:r>
        <w:t xml:space="preserve"> </w:t>
      </w:r>
      <w:r>
        <w:t>porcino 3,80%, vacuno 1,89%, huevos 0,50%,</w:t>
      </w:r>
      <w:r>
        <w:t xml:space="preserve"> </w:t>
      </w:r>
      <w:r>
        <w:t>fibra alpaca 2,14%, alpaca 1,39%, lana 2,12%,</w:t>
      </w:r>
      <w:r>
        <w:t xml:space="preserve"> </w:t>
      </w:r>
      <w:r>
        <w:t>ovino 0,39%, caprino 1,03%, llama 1,26% y fibra</w:t>
      </w:r>
      <w:r>
        <w:t xml:space="preserve"> </w:t>
      </w:r>
      <w:r>
        <w:t>llama 3,61%.</w:t>
      </w:r>
    </w:p>
    <w:p w14:paraId="00B0AB6D" w14:textId="7F041C89" w:rsidR="0026166A" w:rsidRDefault="0026166A" w:rsidP="0026166A">
      <w:pPr>
        <w:jc w:val="both"/>
      </w:pPr>
      <w:r>
        <w:t>Los productos agrícolas que reportaron</w:t>
      </w:r>
      <w:r>
        <w:t xml:space="preserve"> </w:t>
      </w:r>
      <w:r>
        <w:t>disminución fueron: páprika -81,48%, uva -12,40%,</w:t>
      </w:r>
      <w:r>
        <w:t xml:space="preserve"> </w:t>
      </w:r>
      <w:r>
        <w:t>café -18,20%, tomate -25,74%, mandarina</w:t>
      </w:r>
      <w:r>
        <w:t xml:space="preserve"> </w:t>
      </w:r>
      <w:r>
        <w:t>-16,38%, maíz choclo -14,14%, camote -29,61%,</w:t>
      </w:r>
      <w:r>
        <w:t xml:space="preserve"> </w:t>
      </w:r>
      <w:r>
        <w:t>zapallo -26,34%, lúcuma -48,72%, mango -4,76%,</w:t>
      </w:r>
      <w:r>
        <w:t xml:space="preserve"> </w:t>
      </w:r>
      <w:r>
        <w:t>plátano -3,36%, espárrago -1,78%, papa -0,62%,</w:t>
      </w:r>
      <w:r>
        <w:t xml:space="preserve"> </w:t>
      </w:r>
      <w:r>
        <w:t>melocotón -13,10%, algodón rama -54,72%, entre</w:t>
      </w:r>
      <w:r>
        <w:t xml:space="preserve"> </w:t>
      </w:r>
      <w:r>
        <w:t>otros.</w:t>
      </w:r>
    </w:p>
    <w:p w14:paraId="4BBDBC31" w14:textId="609AEE68" w:rsidR="0026166A" w:rsidRDefault="0026166A" w:rsidP="0026166A">
      <w:pPr>
        <w:jc w:val="both"/>
      </w:pPr>
      <w:r>
        <w:t>De otro lado, los cultivos que crecieron fueron</w:t>
      </w:r>
      <w:r>
        <w:t xml:space="preserve"> </w:t>
      </w:r>
      <w:r>
        <w:t>la palma aceitera 48,43%, maíz amarillo duro</w:t>
      </w:r>
      <w:r>
        <w:t xml:space="preserve"> </w:t>
      </w:r>
      <w:r>
        <w:t>13,67%, palta 14,47%, caña de azúcar 12,68%,</w:t>
      </w:r>
      <w:r>
        <w:t xml:space="preserve"> </w:t>
      </w:r>
      <w:r>
        <w:t>cacao 11,27%, alcachofa 104,92%, yuca 9,49%,</w:t>
      </w:r>
      <w:r>
        <w:t xml:space="preserve"> </w:t>
      </w:r>
      <w:r>
        <w:t>tuna 26,26%, cebolla 9,70%, ají 24,59% y quinua</w:t>
      </w:r>
      <w:r>
        <w:t xml:space="preserve"> </w:t>
      </w:r>
      <w:r>
        <w:t>69,21%.</w:t>
      </w:r>
    </w:p>
    <w:p w14:paraId="5FDD41DF" w14:textId="7641F46F" w:rsidR="0026166A" w:rsidRDefault="0026166A" w:rsidP="0026166A">
      <w:pPr>
        <w:jc w:val="both"/>
      </w:pPr>
      <w:r>
        <w:br w:type="page"/>
      </w:r>
    </w:p>
    <w:p w14:paraId="11E0D939" w14:textId="77777777" w:rsidR="00F544F5" w:rsidRDefault="00F544F5" w:rsidP="0026166A">
      <w:pPr>
        <w:jc w:val="both"/>
      </w:pPr>
      <w:r w:rsidRPr="00F544F5">
        <w:lastRenderedPageBreak/>
        <w:t xml:space="preserve">Producción Sectorial: Febrero 2026 </w:t>
      </w:r>
    </w:p>
    <w:p w14:paraId="5B4B3272" w14:textId="6140E6BD" w:rsidR="0026166A" w:rsidRDefault="00F544F5" w:rsidP="0026166A">
      <w:pPr>
        <w:jc w:val="both"/>
      </w:pPr>
      <w:r w:rsidRPr="00F544F5">
        <w:t>Sector Agropecuario</w:t>
      </w:r>
    </w:p>
    <w:p w14:paraId="67ACFE25" w14:textId="77777777" w:rsidR="00F544F5" w:rsidRDefault="00F544F5" w:rsidP="0026166A">
      <w:pPr>
        <w:jc w:val="both"/>
      </w:pPr>
      <w:r w:rsidRPr="00F544F5">
        <w:t xml:space="preserve">El sector agropecuario en febrero de 2026 presentó un crecimiento de 0,71%, determinado por la mayor actividad pecuaria en 1,84%; sin embargo, la producción agrícola disminuyó 0,13%. </w:t>
      </w:r>
    </w:p>
    <w:p w14:paraId="0B3D128D" w14:textId="61752F85" w:rsidR="00F544F5" w:rsidRDefault="00F544F5" w:rsidP="0026166A">
      <w:pPr>
        <w:jc w:val="both"/>
      </w:pPr>
      <w:r w:rsidRPr="00F544F5">
        <w:t>El subsector agrícola (-0,13%) presentó comportamiento decreciente por la disminución en la producción de páprika (-81,48%), uva (-12,40%), café (-18,20%), tomate (-25,74%), mandarina (-16,38%), maíz choclo (-14,14%), camote (-29,61%), zapallo (-26,34%), lúcuma (-48,72%) y mango (-4,76%), por bajos niveles de superficie cosechada y condiciones climáticas desfavorables. En la costa las temperaturas registraron niveles superiores a lo normal; en la sierra predominaron temperaturas normales, aunque en algunos sectores entre normal y superior; y en la selva se presentaron niveles normales a superiores.</w:t>
      </w:r>
    </w:p>
    <w:p w14:paraId="4FA45238" w14:textId="0F013DAD" w:rsidR="00F544F5" w:rsidRDefault="00F544F5" w:rsidP="0026166A">
      <w:pPr>
        <w:jc w:val="both"/>
      </w:pPr>
      <w:r w:rsidRPr="00F544F5">
        <w:t>El subsector pecuario creció 1,84%, por mayores volúmenes de producción de ave 1,81%, leche fresca 2,42%, porcino 3,80%, vacuno 1,89%, huevos 0,50%, fibra alpaca 2,14%, alpaca 1,39%, lana 2,12%, ovino 0,39%, caprino 1,03%, llama 1,26% y fibra llama 3,61%.</w:t>
      </w:r>
    </w:p>
    <w:p w14:paraId="325BDA92" w14:textId="40749BC3" w:rsidR="00F544F5" w:rsidRDefault="001501D7" w:rsidP="0026166A">
      <w:pPr>
        <w:jc w:val="both"/>
      </w:pPr>
      <w:r w:rsidRPr="001501D7">
        <w:t>Producción Sectorial: Enero-Febrero 2026</w:t>
      </w:r>
    </w:p>
    <w:p w14:paraId="1638ABE2" w14:textId="622D655A" w:rsidR="001501D7" w:rsidRDefault="001501D7" w:rsidP="0026166A">
      <w:pPr>
        <w:jc w:val="both"/>
      </w:pPr>
      <w:r w:rsidRPr="001501D7">
        <w:t>Sector Agropecuario</w:t>
      </w:r>
    </w:p>
    <w:p w14:paraId="07FA4272" w14:textId="77777777" w:rsidR="001501D7" w:rsidRDefault="001501D7" w:rsidP="0026166A">
      <w:pPr>
        <w:jc w:val="both"/>
      </w:pPr>
      <w:r w:rsidRPr="001501D7">
        <w:t>En el periodo enero-febrero 2026, el sector agropecuario registró un incremento de 2,40%, impulsado por el resultado positivo de la actividad agrícola en 2,85% y pecuaria en 1,79%.</w:t>
      </w:r>
    </w:p>
    <w:p w14:paraId="0C93590B" w14:textId="77777777" w:rsidR="001501D7" w:rsidRDefault="001501D7" w:rsidP="0026166A">
      <w:pPr>
        <w:jc w:val="both"/>
      </w:pPr>
      <w:r w:rsidRPr="001501D7">
        <w:t>El crecimiento del subsector agrícola fue determinado por la mayor producción de palma aceitera en 49,91%, debido a superiores niveles de superficie cosechada e influenciada por favorables condiciones climáticas (temperatura normal a superior) que permitieron un adecuado desarrollo y fortificación del cultivo. Este comportamiento se reflejó en los departamentos de Ucayali 80,33%, Huánuco 357,94% y Loreto 8,63%.</w:t>
      </w:r>
    </w:p>
    <w:p w14:paraId="48FB7187" w14:textId="77777777" w:rsidR="001501D7" w:rsidRDefault="001501D7" w:rsidP="0026166A">
      <w:pPr>
        <w:jc w:val="both"/>
      </w:pPr>
      <w:r w:rsidRPr="001501D7">
        <w:t>La producción de arroz cáscara ascendió a 360 mil toneladas, es decir, 38 mil toneladas más comparado con similar periodo del año anterior, lo que se tradujo en un crecimiento de 11,83%, por mayor superficie cultivada y favorables factores climatológicos. A nivel departamental, hubo mayor producción en San Martín con 15,20%, Piura 195,86%, Tumbes 1 071,95%, Cajamarca 35,50% y Loreto con 1,30%.</w:t>
      </w:r>
    </w:p>
    <w:p w14:paraId="203FB30A" w14:textId="46C451A3" w:rsidR="001501D7" w:rsidRDefault="001501D7" w:rsidP="0026166A">
      <w:pPr>
        <w:jc w:val="both"/>
      </w:pPr>
      <w:r w:rsidRPr="001501D7">
        <w:t>Otros resultados positivos se visualizaron en la producción de maíz amarillo duro 13,28%, papa 5,87%, palta 14,36%, yuca 10,26%, caña de azúcar 7,85%, alcachofa 83,39%, limón 16,12% y tomate 13,19%.</w:t>
      </w:r>
    </w:p>
    <w:p w14:paraId="761DE71F" w14:textId="713F30CA" w:rsidR="001501D7" w:rsidRDefault="001501D7" w:rsidP="0026166A">
      <w:pPr>
        <w:jc w:val="both"/>
      </w:pPr>
      <w:r w:rsidRPr="001501D7">
        <w:lastRenderedPageBreak/>
        <w:t>El subsector pecuario mostró un avance de 1,79%, con reportes al alza en la producción de ave con 1,81%, leche fresca 2,28%, porcino 3,83%, vacuno 1,78%, huevos 0,60%, fibra alpaca 2,24%, lana 1,87%, ovino 0,34%, caprino 1,18%, fibra llama 3,24% y llama 0,37%.</w:t>
      </w:r>
    </w:p>
    <w:sectPr w:rsidR="00150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B4E8E"/>
    <w:multiLevelType w:val="hybridMultilevel"/>
    <w:tmpl w:val="DE62DE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77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46"/>
    <w:rsid w:val="001501D7"/>
    <w:rsid w:val="0026166A"/>
    <w:rsid w:val="00344F53"/>
    <w:rsid w:val="0034678C"/>
    <w:rsid w:val="00527846"/>
    <w:rsid w:val="00BD32AE"/>
    <w:rsid w:val="00F5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5EE91"/>
  <w15:chartTrackingRefBased/>
  <w15:docId w15:val="{24CE1284-7445-4138-8A0A-901EEEB3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636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3</cp:revision>
  <dcterms:created xsi:type="dcterms:W3CDTF">2026-04-26T14:33:00Z</dcterms:created>
  <dcterms:modified xsi:type="dcterms:W3CDTF">2026-04-26T15:01:00Z</dcterms:modified>
</cp:coreProperties>
</file>