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B6B937" w14:textId="77777777" w:rsidR="00273A34" w:rsidRDefault="00273A34" w:rsidP="00273A34">
      <w:r>
        <w:t>EVOLUCIÓN SECTORIAL</w:t>
      </w:r>
    </w:p>
    <w:p w14:paraId="54C62A59" w14:textId="77777777" w:rsidR="00273A34" w:rsidRDefault="00273A34">
      <w:r w:rsidRPr="00273A34">
        <w:t xml:space="preserve">Índice de la Producción Manufacturera </w:t>
      </w:r>
    </w:p>
    <w:p w14:paraId="3DDF9693" w14:textId="31BDADED" w:rsidR="0034678C" w:rsidRDefault="00273A34">
      <w:r w:rsidRPr="00273A34">
        <w:t>Año base 2007</w:t>
      </w:r>
    </w:p>
    <w:p w14:paraId="7E852B12" w14:textId="77777777" w:rsidR="00273A34" w:rsidRDefault="00273A34" w:rsidP="00273A34">
      <w:pPr>
        <w:pStyle w:val="Prrafodelista"/>
        <w:numPr>
          <w:ilvl w:val="0"/>
          <w:numId w:val="1"/>
        </w:numPr>
        <w:jc w:val="both"/>
      </w:pPr>
      <w:r w:rsidRPr="00273A34">
        <w:t>En febrero 2026, el Índice de la Producción Manufacturera registró crecimiento de 2,74% en comparación con febrero 2025, por el desempeño positivo del subsector fabril no primario y del subsector fabril primario.</w:t>
      </w:r>
    </w:p>
    <w:p w14:paraId="1831A84C" w14:textId="77777777" w:rsidR="00273A34" w:rsidRDefault="00273A34" w:rsidP="00273A34">
      <w:pPr>
        <w:pStyle w:val="Prrafodelista"/>
        <w:numPr>
          <w:ilvl w:val="0"/>
          <w:numId w:val="1"/>
        </w:numPr>
        <w:jc w:val="both"/>
      </w:pPr>
      <w:r w:rsidRPr="00273A34">
        <w:t>El subsector fabril no primario, el más incidente, presentó mayor actividad en la industria de bienes de consumo, bienes intermedios y bienes de capital.</w:t>
      </w:r>
    </w:p>
    <w:p w14:paraId="0ADF61AF" w14:textId="631D3E4D" w:rsidR="00273A34" w:rsidRDefault="00273A34" w:rsidP="00273A34">
      <w:pPr>
        <w:pStyle w:val="Prrafodelista"/>
        <w:numPr>
          <w:ilvl w:val="0"/>
          <w:numId w:val="1"/>
        </w:numPr>
        <w:jc w:val="both"/>
      </w:pPr>
      <w:r w:rsidRPr="00273A34">
        <w:t>En el subsector fabril primario, destacaron las ramas de fabricación de productos primarios de metales preciosos y otros metales no ferrosos, elaboración y conservación de carne y elaboración de azúcar.</w:t>
      </w:r>
    </w:p>
    <w:p w14:paraId="40EC91F1" w14:textId="536C640A" w:rsidR="00273A34" w:rsidRDefault="00273A34" w:rsidP="00273A34">
      <w:pPr>
        <w:jc w:val="both"/>
      </w:pPr>
      <w:r w:rsidRPr="00273A34">
        <w:t>Variación interanual del Índice de la Producción Manufacturera</w:t>
      </w:r>
    </w:p>
    <w:p w14:paraId="493C4836" w14:textId="77777777" w:rsidR="00273A34" w:rsidRDefault="00273A34" w:rsidP="00273A34">
      <w:pPr>
        <w:jc w:val="both"/>
      </w:pPr>
      <w:r w:rsidRPr="00273A34">
        <w:t xml:space="preserve">En febrero 2026, la variación de 2,74% fue resultado de la evolución del subsector fabril no primario en 3,56% con una contribución de 2,67 puntos porcentuales en el índice sectorial; y del avance del subsector fabril primario en 0,28% con un aporte de 0,07 puntos porcentuales en el total. </w:t>
      </w:r>
    </w:p>
    <w:p w14:paraId="47EB0471" w14:textId="77777777" w:rsidR="00273A34" w:rsidRDefault="00273A34" w:rsidP="00273A34">
      <w:pPr>
        <w:jc w:val="both"/>
      </w:pPr>
      <w:r w:rsidRPr="00273A34">
        <w:t xml:space="preserve">El subsector fabril no primario fue impulsado por la mayor actividad en la industria de bienes de consumo en 3,59%, bienes intermedios 1,44% y bienes de capital en 9,49%. </w:t>
      </w:r>
    </w:p>
    <w:p w14:paraId="3EDCC68F" w14:textId="706CE8A5" w:rsidR="002C6DB1" w:rsidRDefault="006143FB" w:rsidP="006143FB">
      <w:pPr>
        <w:jc w:val="both"/>
      </w:pPr>
      <w:r>
        <w:t>El subsector fabril primario reportó incremento en</w:t>
      </w:r>
      <w:r>
        <w:t xml:space="preserve"> </w:t>
      </w:r>
      <w:r>
        <w:t>las ramas de fabricación de productos primarios</w:t>
      </w:r>
      <w:r>
        <w:t xml:space="preserve"> </w:t>
      </w:r>
      <w:r>
        <w:t>de metales preciosos y otros metales no ferrosos</w:t>
      </w:r>
      <w:r>
        <w:t xml:space="preserve"> </w:t>
      </w:r>
      <w:r>
        <w:t>3,37%, elaboración y conservación de carne 1,87%</w:t>
      </w:r>
      <w:r>
        <w:t xml:space="preserve"> </w:t>
      </w:r>
      <w:r>
        <w:t>y elaboración de azúcar en 6,05%; sin embargo, la</w:t>
      </w:r>
      <w:r>
        <w:t xml:space="preserve"> </w:t>
      </w:r>
      <w:r>
        <w:t>elaboración y conservación de pescado, crustáceos</w:t>
      </w:r>
      <w:r>
        <w:t xml:space="preserve"> </w:t>
      </w:r>
      <w:r>
        <w:t>y moluscos reportó una variación de -5,95% y</w:t>
      </w:r>
      <w:r>
        <w:t xml:space="preserve"> </w:t>
      </w:r>
      <w:r>
        <w:t>la fabricación de productos de la refinación del</w:t>
      </w:r>
      <w:r>
        <w:t xml:space="preserve"> </w:t>
      </w:r>
      <w:r>
        <w:t xml:space="preserve">petróleo -4,59%. </w:t>
      </w:r>
      <w:r w:rsidR="002C6DB1">
        <w:br w:type="page"/>
      </w:r>
    </w:p>
    <w:p w14:paraId="1E33AFB1" w14:textId="36C425FE" w:rsidR="00273A34" w:rsidRDefault="002C6DB1" w:rsidP="00273A34">
      <w:pPr>
        <w:jc w:val="both"/>
      </w:pPr>
      <w:r w:rsidRPr="002C6DB1">
        <w:lastRenderedPageBreak/>
        <w:t>Sector Manufactura</w:t>
      </w:r>
    </w:p>
    <w:p w14:paraId="192FE2EC" w14:textId="77777777" w:rsidR="002C6DB1" w:rsidRDefault="002C6DB1" w:rsidP="00273A34">
      <w:pPr>
        <w:jc w:val="both"/>
      </w:pPr>
      <w:r w:rsidRPr="002C6DB1">
        <w:t xml:space="preserve">En febrero 2026, el sector manufactura registró un incremento de 2,74%, con respecto al nivel de producción de similar mes del 2025, según cifras del Ministerio de la Producción. Por principales componentes, este resultado se sustentó en la mayor actividad del subsector fabril no primario en 3,56% y del subsector fabril primario en 0,28%. </w:t>
      </w:r>
    </w:p>
    <w:p w14:paraId="017D70DE" w14:textId="6F793D41" w:rsidR="002C6DB1" w:rsidRDefault="002C6DB1" w:rsidP="00273A34">
      <w:pPr>
        <w:jc w:val="both"/>
      </w:pPr>
      <w:r w:rsidRPr="002C6DB1">
        <w:t>La evolución del subsector fabril no primario fue determinada por la mayor actividad de la industria de bienes de consumo en 3,59%, bienes intermedios 1,44% y de bienes de capital en 9,49%.</w:t>
      </w:r>
    </w:p>
    <w:p w14:paraId="4F4CCE01" w14:textId="56E46C08" w:rsidR="00CE5080" w:rsidRDefault="00CE5080" w:rsidP="00273A34">
      <w:pPr>
        <w:jc w:val="both"/>
      </w:pPr>
      <w:r w:rsidRPr="00CE5080">
        <w:t>El desempeño positivo del subsector fabril primario fue determinado por el aumento en la rama de fabricación de productos primarios de metales preciosos y otros metales no ferrosos con 3,37%, por mayor refinación de cobre destinado a atender la demanda interna y externa (India y Australia); elaboración y conservación de carne con 1,87%, por mayor elaboración de hot dog - salchichas y carne beneficiada de ave, porcino, caprino y vacuno para abastecer el mercado interno y externo (Vietnam y China); y elaboración de azúcar con 6,05%, por mayor producción de azúcar de las empresas azucareras de Lambayeque, Áncash y Piura para el consumo interno. Sin embargo, registraron contracción las ramas de elaboración y conservación de pescado, crustáceos y moluscos con -5,95%, por menor procesamiento de especies para la elaboración de productos enlatados, congelados y curados destinados al mercado interno y externo (Alemania y Vietnam); y fabricación de productos de la refinación del petróleo con -4,59%, por menor producción de gasolina y GLP para atender la demanda interna y externa (Bolivia y Ecuador).</w:t>
      </w:r>
    </w:p>
    <w:p w14:paraId="107A3225" w14:textId="77777777" w:rsidR="007A32D3" w:rsidRDefault="007A32D3" w:rsidP="00273A34">
      <w:pPr>
        <w:jc w:val="both"/>
      </w:pPr>
    </w:p>
    <w:p w14:paraId="1D18F770" w14:textId="01725075" w:rsidR="00392B3B" w:rsidRDefault="00392B3B" w:rsidP="00273A34">
      <w:pPr>
        <w:jc w:val="both"/>
        <w:rPr>
          <w:u w:val="single"/>
        </w:rPr>
      </w:pPr>
      <w:r>
        <w:rPr>
          <w:u w:val="single"/>
        </w:rPr>
        <w:br w:type="page"/>
      </w:r>
    </w:p>
    <w:p w14:paraId="3EA32BDC" w14:textId="77777777" w:rsidR="008776E4" w:rsidRDefault="008776E4" w:rsidP="008776E4">
      <w:pPr>
        <w:jc w:val="both"/>
      </w:pPr>
      <w:r w:rsidRPr="001501D7">
        <w:lastRenderedPageBreak/>
        <w:t>Producción Sectorial: Enero-Febrero 2026</w:t>
      </w:r>
    </w:p>
    <w:p w14:paraId="19854A09" w14:textId="03DED6D2" w:rsidR="007A32D3" w:rsidRPr="00392B3B" w:rsidRDefault="00392B3B" w:rsidP="00273A34">
      <w:pPr>
        <w:jc w:val="both"/>
      </w:pPr>
      <w:r w:rsidRPr="00392B3B">
        <w:t>Sector Manufactura</w:t>
      </w:r>
    </w:p>
    <w:p w14:paraId="42E4DF04" w14:textId="77777777" w:rsidR="00392B3B" w:rsidRDefault="00392B3B" w:rsidP="00273A34">
      <w:pPr>
        <w:jc w:val="both"/>
      </w:pPr>
      <w:r w:rsidRPr="00392B3B">
        <w:t xml:space="preserve">En el periodo de enero a febrero 2026, el sector manufactura reportó una variación acumulada de 0,57%, como resultado de la mayor producción del subsector fabril no primario en 0,62% y del subsector fabril primario en 0,35%. </w:t>
      </w:r>
    </w:p>
    <w:p w14:paraId="4AB9AB91" w14:textId="77777777" w:rsidR="00392B3B" w:rsidRDefault="00392B3B" w:rsidP="00273A34">
      <w:pPr>
        <w:jc w:val="both"/>
      </w:pPr>
      <w:r w:rsidRPr="00392B3B">
        <w:t xml:space="preserve">El comportamiento positivo del subsector fabril no primario (0,62%) se debió al mayor nivel de producción de la industria de bienes intermedios con 0,69% y de bienes de capital con 8,73%; sin embargo, la industria de bienes de consumo disminuyó 0,20%. </w:t>
      </w:r>
    </w:p>
    <w:p w14:paraId="6F40E302" w14:textId="77777777" w:rsidR="00392B3B" w:rsidRDefault="00392B3B" w:rsidP="00273A34">
      <w:pPr>
        <w:jc w:val="both"/>
      </w:pPr>
      <w:r w:rsidRPr="00392B3B">
        <w:t xml:space="preserve">En la industria de bienes intermedios, las principales ramas que determinaron su incremento fueron la fabricación de cemento, cal y yeso con 14,14%, industrias básicas de hierro y acero con 9,01%, impresión con 17,19%, fabricación de productos de plástico con 2,89%, elaboración de productos de molinería con 5,65% y fabricación de materiales de construcción de arcilla con 8,97%. </w:t>
      </w:r>
    </w:p>
    <w:p w14:paraId="7C8A35A0" w14:textId="4FF7C4AC" w:rsidR="00392B3B" w:rsidRPr="00392B3B" w:rsidRDefault="00392B3B" w:rsidP="00273A34">
      <w:pPr>
        <w:jc w:val="both"/>
      </w:pPr>
      <w:r w:rsidRPr="00392B3B">
        <w:t>En la industria de bienes de capital, las ramas más incidentes en su crecimiento fueron la construcción de buques y estructuras flotantes con 74,42%, fabricación de maquinaria para la explotación de minas y canteras y para obras de construcción con 50,68%, fabricación de otras bombas, compresores, grifos y válvulas con 31,17% y fabricación de vehículos automotores con 14,29%.</w:t>
      </w:r>
    </w:p>
    <w:sectPr w:rsidR="00392B3B" w:rsidRPr="00392B3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D31B84"/>
    <w:multiLevelType w:val="hybridMultilevel"/>
    <w:tmpl w:val="8B48D7E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21262707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3A34"/>
    <w:rsid w:val="00273A34"/>
    <w:rsid w:val="002C6DB1"/>
    <w:rsid w:val="00344F53"/>
    <w:rsid w:val="0034678C"/>
    <w:rsid w:val="00392B3B"/>
    <w:rsid w:val="006143FB"/>
    <w:rsid w:val="007A32D3"/>
    <w:rsid w:val="008776E4"/>
    <w:rsid w:val="00BD32AE"/>
    <w:rsid w:val="00CE508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AD723"/>
  <w15:chartTrackingRefBased/>
  <w15:docId w15:val="{719124D7-E6A7-44E9-B7BF-FFFCF8A76A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3A34"/>
  </w:style>
  <w:style w:type="paragraph" w:styleId="Ttulo1">
    <w:name w:val="heading 1"/>
    <w:basedOn w:val="Normal"/>
    <w:next w:val="Normal"/>
    <w:link w:val="Ttulo1Car"/>
    <w:uiPriority w:val="9"/>
    <w:qFormat/>
    <w:rsid w:val="00273A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73A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73A3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73A3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73A3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73A3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73A3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73A3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73A3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73A3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73A3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73A3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73A3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73A3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73A3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73A3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73A3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73A34"/>
    <w:rPr>
      <w:rFonts w:eastAsiaTheme="majorEastAsia" w:cstheme="majorBidi"/>
      <w:color w:val="272727" w:themeColor="text1" w:themeTint="D8"/>
    </w:rPr>
  </w:style>
  <w:style w:type="paragraph" w:styleId="Ttulo">
    <w:name w:val="Title"/>
    <w:basedOn w:val="Normal"/>
    <w:next w:val="Normal"/>
    <w:link w:val="TtuloCar"/>
    <w:uiPriority w:val="10"/>
    <w:qFormat/>
    <w:rsid w:val="00273A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73A3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73A3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73A3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73A34"/>
    <w:pPr>
      <w:spacing w:before="160"/>
      <w:jc w:val="center"/>
    </w:pPr>
    <w:rPr>
      <w:i/>
      <w:iCs/>
      <w:color w:val="404040" w:themeColor="text1" w:themeTint="BF"/>
    </w:rPr>
  </w:style>
  <w:style w:type="character" w:customStyle="1" w:styleId="CitaCar">
    <w:name w:val="Cita Car"/>
    <w:basedOn w:val="Fuentedeprrafopredeter"/>
    <w:link w:val="Cita"/>
    <w:uiPriority w:val="29"/>
    <w:rsid w:val="00273A34"/>
    <w:rPr>
      <w:i/>
      <w:iCs/>
      <w:color w:val="404040" w:themeColor="text1" w:themeTint="BF"/>
    </w:rPr>
  </w:style>
  <w:style w:type="paragraph" w:styleId="Prrafodelista">
    <w:name w:val="List Paragraph"/>
    <w:basedOn w:val="Normal"/>
    <w:uiPriority w:val="34"/>
    <w:qFormat/>
    <w:rsid w:val="00273A34"/>
    <w:pPr>
      <w:ind w:left="720"/>
      <w:contextualSpacing/>
    </w:pPr>
  </w:style>
  <w:style w:type="character" w:styleId="nfasisintenso">
    <w:name w:val="Intense Emphasis"/>
    <w:basedOn w:val="Fuentedeprrafopredeter"/>
    <w:uiPriority w:val="21"/>
    <w:qFormat/>
    <w:rsid w:val="00273A34"/>
    <w:rPr>
      <w:i/>
      <w:iCs/>
      <w:color w:val="0F4761" w:themeColor="accent1" w:themeShade="BF"/>
    </w:rPr>
  </w:style>
  <w:style w:type="paragraph" w:styleId="Citadestacada">
    <w:name w:val="Intense Quote"/>
    <w:basedOn w:val="Normal"/>
    <w:next w:val="Normal"/>
    <w:link w:val="CitadestacadaCar"/>
    <w:uiPriority w:val="30"/>
    <w:qFormat/>
    <w:rsid w:val="00273A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73A34"/>
    <w:rPr>
      <w:i/>
      <w:iCs/>
      <w:color w:val="0F4761" w:themeColor="accent1" w:themeShade="BF"/>
    </w:rPr>
  </w:style>
  <w:style w:type="character" w:styleId="Referenciaintensa">
    <w:name w:val="Intense Reference"/>
    <w:basedOn w:val="Fuentedeprrafopredeter"/>
    <w:uiPriority w:val="32"/>
    <w:qFormat/>
    <w:rsid w:val="00273A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FFFFFF"/>
      </a:dk1>
      <a:lt1>
        <a:sysClr val="window" lastClr="2D3236"/>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3</Pages>
  <Words>698</Words>
  <Characters>3843</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JC</dc:creator>
  <cp:keywords/>
  <dc:description/>
  <cp:lastModifiedBy>JC</cp:lastModifiedBy>
  <cp:revision>5</cp:revision>
  <dcterms:created xsi:type="dcterms:W3CDTF">2026-04-26T14:39:00Z</dcterms:created>
  <dcterms:modified xsi:type="dcterms:W3CDTF">2026-04-26T15:35:00Z</dcterms:modified>
</cp:coreProperties>
</file>