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3B371" w14:textId="77777777" w:rsidR="00946BD7" w:rsidRDefault="00946BD7" w:rsidP="00946BD7">
      <w:r>
        <w:t>EVOLUCIÓN SECTORIAL</w:t>
      </w:r>
    </w:p>
    <w:p w14:paraId="6BF7DD00" w14:textId="77777777" w:rsidR="00946BD7" w:rsidRDefault="00946BD7" w:rsidP="00946BD7">
      <w:r>
        <w:t>Índice de la Producción Minera y de Hidrocarburos</w:t>
      </w:r>
    </w:p>
    <w:p w14:paraId="1EE638DF" w14:textId="77777777" w:rsidR="00946BD7" w:rsidRDefault="00946BD7" w:rsidP="00946BD7">
      <w:r>
        <w:t>Año base 2007</w:t>
      </w:r>
    </w:p>
    <w:p w14:paraId="72B1C98C" w14:textId="0D44480B" w:rsidR="00010257" w:rsidRDefault="00010257" w:rsidP="00010257">
      <w:pPr>
        <w:pStyle w:val="Prrafodelista"/>
        <w:numPr>
          <w:ilvl w:val="0"/>
          <w:numId w:val="1"/>
        </w:numPr>
        <w:jc w:val="both"/>
      </w:pPr>
      <w:r>
        <w:t>El Índice de la Producción Minera y de</w:t>
      </w:r>
      <w:r>
        <w:t xml:space="preserve"> </w:t>
      </w:r>
      <w:r>
        <w:t>Hidrocarburos registró crecimiento de 1,97% en</w:t>
      </w:r>
      <w:r>
        <w:t xml:space="preserve"> </w:t>
      </w:r>
      <w:r>
        <w:t>diciembre 2024, sustentado en el desempeño</w:t>
      </w:r>
      <w:r>
        <w:t xml:space="preserve"> </w:t>
      </w:r>
      <w:r>
        <w:t>positivo del subsector minería metálica en</w:t>
      </w:r>
      <w:r>
        <w:t xml:space="preserve"> </w:t>
      </w:r>
      <w:r>
        <w:t>2,03%, por mayor nivel de producción de</w:t>
      </w:r>
      <w:r>
        <w:t xml:space="preserve"> </w:t>
      </w:r>
      <w:r>
        <w:t>molibdeno, cobre, plata y oro; y del subsector de</w:t>
      </w:r>
      <w:r>
        <w:t xml:space="preserve"> </w:t>
      </w:r>
      <w:r>
        <w:t>hidrocarburos en 1,47%, ante el incremento de la</w:t>
      </w:r>
      <w:r>
        <w:t xml:space="preserve"> </w:t>
      </w:r>
      <w:r>
        <w:t>producción de líquidos de gas natural.</w:t>
      </w:r>
    </w:p>
    <w:p w14:paraId="56881E68" w14:textId="1CFB1170" w:rsidR="00946BD7" w:rsidRDefault="00010257" w:rsidP="00010257">
      <w:pPr>
        <w:pStyle w:val="Prrafodelista"/>
        <w:numPr>
          <w:ilvl w:val="0"/>
          <w:numId w:val="1"/>
        </w:numPr>
        <w:jc w:val="both"/>
      </w:pPr>
      <w:r>
        <w:t>La actividad minera metálica en diciembre de 2024</w:t>
      </w:r>
      <w:r>
        <w:t xml:space="preserve"> </w:t>
      </w:r>
      <w:r>
        <w:t>se vio favorecida por el mayor tonelaje tratado en</w:t>
      </w:r>
      <w:r>
        <w:t xml:space="preserve"> </w:t>
      </w:r>
      <w:r>
        <w:t>las plantas de concentración y al minado en zonas</w:t>
      </w:r>
      <w:r>
        <w:t xml:space="preserve"> </w:t>
      </w:r>
      <w:r>
        <w:t>de alta ley de mineral.</w:t>
      </w:r>
    </w:p>
    <w:p w14:paraId="3F03674E" w14:textId="77777777" w:rsidR="00946BD7" w:rsidRDefault="00946BD7" w:rsidP="00946BD7">
      <w:pPr>
        <w:jc w:val="both"/>
      </w:pPr>
      <w:r w:rsidRPr="00963670">
        <w:t>Variación interanual del Índice de la Producción Minera y de Hidrocarburos</w:t>
      </w:r>
    </w:p>
    <w:p w14:paraId="1E7764A1" w14:textId="7D3419AB" w:rsidR="00010257" w:rsidRDefault="00010257" w:rsidP="00010257">
      <w:pPr>
        <w:jc w:val="both"/>
      </w:pPr>
      <w:r>
        <w:t>En diciembre 2024, la variación de 1,97% fue</w:t>
      </w:r>
      <w:r>
        <w:t xml:space="preserve"> </w:t>
      </w:r>
      <w:r>
        <w:t>determinada por incremento de la actividad minera</w:t>
      </w:r>
      <w:r>
        <w:t xml:space="preserve"> </w:t>
      </w:r>
      <w:r>
        <w:t>metálica en 2,03% con una incidencia positiva de</w:t>
      </w:r>
      <w:r>
        <w:t xml:space="preserve"> </w:t>
      </w:r>
      <w:r>
        <w:t>1,78 puntos porcentuales en el resultado sectorial;</w:t>
      </w:r>
      <w:r>
        <w:t xml:space="preserve"> </w:t>
      </w:r>
      <w:r>
        <w:t>y de la producción de hidrocarburos en 1,47% con</w:t>
      </w:r>
      <w:r>
        <w:t xml:space="preserve"> </w:t>
      </w:r>
      <w:r>
        <w:t>una contribución de 0,18 puntos porcentuales en</w:t>
      </w:r>
      <w:r>
        <w:t xml:space="preserve"> </w:t>
      </w:r>
      <w:r>
        <w:t>el total sectorial.</w:t>
      </w:r>
    </w:p>
    <w:p w14:paraId="40CA5A62" w14:textId="023A1978" w:rsidR="00010257" w:rsidRDefault="00010257" w:rsidP="00010257">
      <w:pPr>
        <w:jc w:val="both"/>
      </w:pPr>
      <w:r>
        <w:t>La minería metálica aumentó en 2,03% como</w:t>
      </w:r>
      <w:r>
        <w:t xml:space="preserve"> </w:t>
      </w:r>
      <w:r>
        <w:t>resultado del mayor nivel de producción de</w:t>
      </w:r>
      <w:r>
        <w:t xml:space="preserve"> </w:t>
      </w:r>
      <w:r>
        <w:t>molibdeno en 32,16%, cobre 3,28%, plata 17,87%</w:t>
      </w:r>
      <w:r>
        <w:t xml:space="preserve"> </w:t>
      </w:r>
      <w:r>
        <w:t>y oro en 1,04%; en cambio, la producción de zinc</w:t>
      </w:r>
      <w:r>
        <w:t xml:space="preserve"> </w:t>
      </w:r>
      <w:r>
        <w:t>registró una variación de -25,32%, estaño -23,46%,</w:t>
      </w:r>
      <w:r>
        <w:t xml:space="preserve"> </w:t>
      </w:r>
      <w:r>
        <w:t>hierro -1,11% y plomo de -0,49%.</w:t>
      </w:r>
    </w:p>
    <w:p w14:paraId="249E58D5" w14:textId="29446B05" w:rsidR="00946BD7" w:rsidRDefault="00010257" w:rsidP="00010257">
      <w:pPr>
        <w:jc w:val="both"/>
      </w:pPr>
      <w:r>
        <w:t>El subsector de hidrocarburos creció en 1,47% por</w:t>
      </w:r>
      <w:r>
        <w:t xml:space="preserve"> </w:t>
      </w:r>
      <w:r>
        <w:t>mayor explotación de líquidos de gas natural en</w:t>
      </w:r>
      <w:r>
        <w:t xml:space="preserve"> </w:t>
      </w:r>
      <w:r>
        <w:t>4,65%; sin embargo, disminuyó la producción de</w:t>
      </w:r>
      <w:r>
        <w:t xml:space="preserve"> </w:t>
      </w:r>
      <w:r>
        <w:t>gas natural en -1,49% y petróleo crudo en -0,18%.</w:t>
      </w:r>
      <w:r w:rsidR="00946BD7">
        <w:br w:type="page"/>
      </w:r>
    </w:p>
    <w:p w14:paraId="31E9671E" w14:textId="4D8BF7F6" w:rsidR="00FD4765" w:rsidRDefault="00FD4765" w:rsidP="00946BD7">
      <w:pPr>
        <w:jc w:val="both"/>
      </w:pPr>
      <w:r w:rsidRPr="00FD4765">
        <w:lastRenderedPageBreak/>
        <w:t>Producción Sectorial: Año 2024</w:t>
      </w:r>
    </w:p>
    <w:p w14:paraId="6D88EE88" w14:textId="77777777" w:rsidR="00946BD7" w:rsidRDefault="00946BD7" w:rsidP="00946BD7">
      <w:pPr>
        <w:jc w:val="both"/>
      </w:pPr>
      <w:r w:rsidRPr="00FC1E19">
        <w:t>Sector Minería e Hidrocarburos</w:t>
      </w:r>
    </w:p>
    <w:p w14:paraId="46A5ADBA" w14:textId="5F8960D3" w:rsidR="00BD6CC6" w:rsidRDefault="00FD4765" w:rsidP="00FD4765">
      <w:pPr>
        <w:jc w:val="both"/>
      </w:pPr>
      <w:r>
        <w:t>El sector minería e hidrocarburos</w:t>
      </w:r>
      <w:r>
        <w:t xml:space="preserve"> </w:t>
      </w:r>
      <w:r>
        <w:t>en el año 2024 creció en 2,04%,</w:t>
      </w:r>
      <w:r>
        <w:t xml:space="preserve"> </w:t>
      </w:r>
      <w:r>
        <w:t>tras el avance significativo en el</w:t>
      </w:r>
      <w:r>
        <w:t xml:space="preserve"> </w:t>
      </w:r>
      <w:r>
        <w:t>2023 (8,02%), manteniendo una</w:t>
      </w:r>
      <w:r>
        <w:t xml:space="preserve"> </w:t>
      </w:r>
      <w:r>
        <w:t>trayectoria ascendente por cuatro</w:t>
      </w:r>
      <w:r>
        <w:t xml:space="preserve"> </w:t>
      </w:r>
      <w:r>
        <w:t>años continuos, como resultado de</w:t>
      </w:r>
      <w:r>
        <w:t xml:space="preserve"> </w:t>
      </w:r>
      <w:r>
        <w:t>la expansión de la actividad minera</w:t>
      </w:r>
      <w:r>
        <w:t xml:space="preserve"> </w:t>
      </w:r>
      <w:r>
        <w:t>metálica en 2,04%, sustentado en</w:t>
      </w:r>
      <w:r>
        <w:t xml:space="preserve"> </w:t>
      </w:r>
      <w:r>
        <w:t>el mayor nivel de producción de la</w:t>
      </w:r>
      <w:r>
        <w:t xml:space="preserve"> </w:t>
      </w:r>
      <w:r>
        <w:t>mayoría de metales componentes,</w:t>
      </w:r>
      <w:r>
        <w:t xml:space="preserve"> </w:t>
      </w:r>
      <w:r>
        <w:t>con excepción de zinc y cobre,</w:t>
      </w:r>
      <w:r>
        <w:t xml:space="preserve"> </w:t>
      </w:r>
      <w:r>
        <w:t>destacando por su contribución el</w:t>
      </w:r>
      <w:r>
        <w:t xml:space="preserve"> </w:t>
      </w:r>
      <w:r>
        <w:t>molibdeno, metal que registró un</w:t>
      </w:r>
      <w:r>
        <w:t xml:space="preserve"> </w:t>
      </w:r>
      <w:r>
        <w:t>nivel récord histórico al igual que la producción de hierro; secundado por el desempeño positivo del</w:t>
      </w:r>
      <w:r>
        <w:t xml:space="preserve"> </w:t>
      </w:r>
      <w:r>
        <w:t>subsector de hidrocarburos en 2,07%, sobre la base del incremento en la explotación de petróleo crudo</w:t>
      </w:r>
      <w:r>
        <w:t xml:space="preserve"> </w:t>
      </w:r>
      <w:r>
        <w:t>y de líquidos de gas natural.</w:t>
      </w:r>
    </w:p>
    <w:p w14:paraId="36E234DF" w14:textId="2F591092" w:rsidR="00BD6CC6" w:rsidRDefault="00FD4765" w:rsidP="00FD4765">
      <w:pPr>
        <w:jc w:val="both"/>
      </w:pPr>
      <w:r>
        <w:t>La evolución ascendente de la actividad minera metálica (2,04%) en el año 2024 ha sido determinada</w:t>
      </w:r>
      <w:r>
        <w:t xml:space="preserve"> </w:t>
      </w:r>
      <w:r>
        <w:t>por el considerable aumento de 25,29% en la producción de molibdeno, que significó un aporte positivo</w:t>
      </w:r>
      <w:r>
        <w:t xml:space="preserve"> </w:t>
      </w:r>
      <w:r>
        <w:t>de 1,81 puntos porcentuales al resultado global del sector y en menor magnitud por los incrementos</w:t>
      </w:r>
      <w:r>
        <w:t xml:space="preserve"> </w:t>
      </w:r>
      <w:r>
        <w:t>en la producción de plata 15,41%, oro 6,92%, plomo 6,58%, estaño 23,21% y de hierro 2,49% con una</w:t>
      </w:r>
      <w:r>
        <w:t xml:space="preserve"> </w:t>
      </w:r>
      <w:r>
        <w:t>contribución total de 1,48 puntos porcentuales; atenuada por la acentuada disminución en la producción</w:t>
      </w:r>
      <w:r>
        <w:t xml:space="preserve"> </w:t>
      </w:r>
      <w:r>
        <w:t>de zinc (-13,51%) y la tenue caída en la de cobre (-0,24%), ambos productos con una incidencia negativa</w:t>
      </w:r>
      <w:r>
        <w:t xml:space="preserve"> </w:t>
      </w:r>
      <w:r>
        <w:t>de 1,52 puntos porcentuales.</w:t>
      </w:r>
    </w:p>
    <w:p w14:paraId="3A103D02" w14:textId="098AE7B5" w:rsidR="00946BD7" w:rsidRDefault="00FD4765" w:rsidP="00FD4765">
      <w:pPr>
        <w:jc w:val="both"/>
      </w:pPr>
      <w:r>
        <w:t>La producción del subsector de hidrocarburos en el 2024 creció en 2,07%, registrando una evolución</w:t>
      </w:r>
      <w:r>
        <w:t xml:space="preserve"> </w:t>
      </w:r>
      <w:r>
        <w:t>ascendente continua desde el año 2022, determinado por la mayor actividad de explotación de petróleo</w:t>
      </w:r>
      <w:r>
        <w:t xml:space="preserve"> </w:t>
      </w:r>
      <w:r>
        <w:t>crudo en 5,29% y de líquidos de gas natural en 2,55%, ambos recursos con un aporte de 0,32 puntos</w:t>
      </w:r>
      <w:r>
        <w:t xml:space="preserve"> </w:t>
      </w:r>
      <w:r>
        <w:t>porcentuales al desempeño global del sector; atenuada por la caída en los niveles de producción de gas</w:t>
      </w:r>
      <w:r>
        <w:t xml:space="preserve"> </w:t>
      </w:r>
      <w:r>
        <w:t>natural en -1,16% con una incidencia negativa de 0,05 puntos porcentuales.</w:t>
      </w:r>
    </w:p>
    <w:p w14:paraId="1C014EF8" w14:textId="77777777" w:rsidR="00946BD7" w:rsidRDefault="00946BD7" w:rsidP="00946BD7">
      <w:pPr>
        <w:jc w:val="both"/>
      </w:pPr>
      <w:r>
        <w:br w:type="page"/>
      </w:r>
    </w:p>
    <w:p w14:paraId="5F202E1C" w14:textId="7A9DF4AC" w:rsidR="00340C95" w:rsidRDefault="00340C95" w:rsidP="00946BD7">
      <w:pPr>
        <w:jc w:val="both"/>
      </w:pPr>
      <w:r w:rsidRPr="00340C95">
        <w:lastRenderedPageBreak/>
        <w:t>Producción Sectorial: Diciembre 2024</w:t>
      </w:r>
    </w:p>
    <w:p w14:paraId="0A95C39A" w14:textId="754AD0A3" w:rsidR="00946BD7" w:rsidRDefault="00946BD7" w:rsidP="00946BD7">
      <w:pPr>
        <w:jc w:val="both"/>
      </w:pPr>
      <w:r w:rsidRPr="00AA60AE">
        <w:t>Sector Minería e Hidrocarburos</w:t>
      </w:r>
    </w:p>
    <w:p w14:paraId="087693B6" w14:textId="69302EE1" w:rsidR="00340C95" w:rsidRDefault="00340C95" w:rsidP="00340C95">
      <w:pPr>
        <w:jc w:val="both"/>
      </w:pPr>
      <w:r>
        <w:t>El sector minería e hidrocarburos en diciembre de 2024 creció en 1,97%, en comparación a similar mes de</w:t>
      </w:r>
      <w:r>
        <w:t xml:space="preserve"> </w:t>
      </w:r>
      <w:r>
        <w:t>2023 y registró una recuperación tras la disminución en los dos meses previos, sustentado en el avance de</w:t>
      </w:r>
      <w:r>
        <w:t xml:space="preserve"> </w:t>
      </w:r>
      <w:r>
        <w:t>la actividad minera metálica en 2,03%, ante el impulso del mayor volumen de producción de molibdeno,</w:t>
      </w:r>
      <w:r>
        <w:t xml:space="preserve"> </w:t>
      </w:r>
      <w:r>
        <w:t>cobre, plata y oro; secundado por el alza del subsector de hidrocarburos en 1,47%, determinado por el</w:t>
      </w:r>
      <w:r>
        <w:t xml:space="preserve"> </w:t>
      </w:r>
      <w:r>
        <w:t>mayor nivel de explotación de líquidos de gas natural.</w:t>
      </w:r>
    </w:p>
    <w:p w14:paraId="2205BFFF" w14:textId="733DD9AF" w:rsidR="00946BD7" w:rsidRDefault="00340C95" w:rsidP="00340C95">
      <w:pPr>
        <w:jc w:val="both"/>
      </w:pPr>
      <w:r>
        <w:t>La evolución ascendente de la minería metálica (2,03%) se sustentó básicamente en la mayor producción</w:t>
      </w:r>
      <w:r>
        <w:t xml:space="preserve"> </w:t>
      </w:r>
      <w:r>
        <w:t>de molibdeno en 32,16% y de cobre 3,28%, los dos productos con un aporte de 3,93 puntos porcentuales</w:t>
      </w:r>
      <w:r>
        <w:t xml:space="preserve"> </w:t>
      </w:r>
      <w:r>
        <w:t>al resultado global del sector, aunada a los incrementos en la producción de plata en 17,87% y de oro</w:t>
      </w:r>
      <w:r>
        <w:t xml:space="preserve"> </w:t>
      </w:r>
      <w:r>
        <w:t>en 1,04%, ambos productos con un aporte de 0,87 puntos porcentuales, atenuada por el bajo nivel de</w:t>
      </w:r>
      <w:r>
        <w:t xml:space="preserve"> </w:t>
      </w:r>
      <w:r>
        <w:t>producción de zinc en -25,32%, estaño -23,46%, hierro -1,11% y de plomo en -0,49%, los cuatro productos</w:t>
      </w:r>
      <w:r>
        <w:t xml:space="preserve"> </w:t>
      </w:r>
      <w:r>
        <w:t>con una incidencia negativa de 3,01 puntos porcentuales.</w:t>
      </w:r>
    </w:p>
    <w:p w14:paraId="1C91E645" w14:textId="09060E49" w:rsidR="00BD6CC6" w:rsidRDefault="00340C95" w:rsidP="00340C95">
      <w:pPr>
        <w:jc w:val="both"/>
      </w:pPr>
      <w:r>
        <w:t>El subsector de hidrocarburos en diciembre de 2024 aumentó en 1,47%, sobre la base del mayor volumen</w:t>
      </w:r>
      <w:r>
        <w:t xml:space="preserve"> </w:t>
      </w:r>
      <w:r>
        <w:t>de explotación de líquidos de gas natural en 4,65% con un aporte 0,24 puntos porcentuales al resultado</w:t>
      </w:r>
      <w:r>
        <w:t xml:space="preserve"> </w:t>
      </w:r>
      <w:r>
        <w:t>consolidado del sector, atenuado en forma parcial por el retroceso en la producción de gas natural</w:t>
      </w:r>
      <w:r>
        <w:t xml:space="preserve"> </w:t>
      </w:r>
      <w:r>
        <w:t>-1,49% y de petróleo crudo en -0,18%, ambos recursos con una leve incidencia negativa de 0,06 puntos</w:t>
      </w:r>
      <w:r>
        <w:t xml:space="preserve"> </w:t>
      </w:r>
      <w:r>
        <w:t>porcentuales.</w:t>
      </w:r>
    </w:p>
    <w:p w14:paraId="5E97E86A" w14:textId="77777777" w:rsidR="0034678C" w:rsidRDefault="0034678C"/>
    <w:sectPr w:rsidR="003467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D7"/>
    <w:rsid w:val="00010257"/>
    <w:rsid w:val="00340C95"/>
    <w:rsid w:val="00344F53"/>
    <w:rsid w:val="0034678C"/>
    <w:rsid w:val="00665A0A"/>
    <w:rsid w:val="00946BD7"/>
    <w:rsid w:val="009B477A"/>
    <w:rsid w:val="00BD32AE"/>
    <w:rsid w:val="00BD6CC6"/>
    <w:rsid w:val="00FD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BC9B5D"/>
  <w15:chartTrackingRefBased/>
  <w15:docId w15:val="{C4C00537-BA12-483A-81B0-BE6B01FD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BD7"/>
  </w:style>
  <w:style w:type="paragraph" w:styleId="Ttulo1">
    <w:name w:val="heading 1"/>
    <w:basedOn w:val="Normal"/>
    <w:next w:val="Normal"/>
    <w:link w:val="Ttulo1Car"/>
    <w:uiPriority w:val="9"/>
    <w:qFormat/>
    <w:rsid w:val="0094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6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6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6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6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6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6B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6B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6B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6B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6B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6B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6B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6B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6B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6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6B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6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741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5</cp:revision>
  <dcterms:created xsi:type="dcterms:W3CDTF">2026-04-26T17:24:00Z</dcterms:created>
  <dcterms:modified xsi:type="dcterms:W3CDTF">2026-04-26T17:28:00Z</dcterms:modified>
</cp:coreProperties>
</file>