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A8B71" w14:textId="77777777" w:rsidR="007B5F0A" w:rsidRDefault="007B5F0A" w:rsidP="007B5F0A">
      <w:r>
        <w:t>EVOLUCIÓN SECTORIAL</w:t>
      </w:r>
    </w:p>
    <w:p w14:paraId="752469FB" w14:textId="77777777" w:rsidR="007B5F0A" w:rsidRDefault="007B5F0A" w:rsidP="007B5F0A">
      <w:r>
        <w:t>Índice de la Producción Minera y de Hidrocarburos</w:t>
      </w:r>
    </w:p>
    <w:p w14:paraId="1102ACA9" w14:textId="77777777" w:rsidR="007B5F0A" w:rsidRDefault="007B5F0A" w:rsidP="007B5F0A">
      <w:r>
        <w:t>Año base 2007</w:t>
      </w:r>
    </w:p>
    <w:p w14:paraId="3A3493CE" w14:textId="3364EC0A" w:rsidR="00470D24" w:rsidRDefault="00470D24" w:rsidP="00470D24">
      <w:pPr>
        <w:pStyle w:val="Prrafodelista"/>
        <w:numPr>
          <w:ilvl w:val="0"/>
          <w:numId w:val="1"/>
        </w:numPr>
        <w:jc w:val="both"/>
      </w:pPr>
      <w:r>
        <w:t>El Índice de la Producción Minera y de Hidrocarburos registró crecimiento de 8,55% en abril 2025, por desempeño positivo del subsector minero metálico en 10,64%, como resultado del mayor nivel de producción de cobre y zinc, principalmente; sin embargo, el subsector de hidrocarburos disminuyó en 4,38% por menor volumen de explotación de líquidos de gas natural y de gas natural.</w:t>
      </w:r>
    </w:p>
    <w:p w14:paraId="459E2F2F" w14:textId="7F8FF08C" w:rsidR="007B5F0A" w:rsidRDefault="00470D24" w:rsidP="00470D24">
      <w:pPr>
        <w:pStyle w:val="Prrafodelista"/>
        <w:numPr>
          <w:ilvl w:val="0"/>
          <w:numId w:val="1"/>
        </w:numPr>
        <w:jc w:val="both"/>
      </w:pPr>
      <w:r>
        <w:t>La evolución ascendente de la actividad minera metálica en abril 2025 estuvo relacionada al mayor tonelaje tratado en las plantas de concentración debido al minado en zonas de alta ley de mineral.</w:t>
      </w:r>
    </w:p>
    <w:p w14:paraId="6084EE9F" w14:textId="77777777" w:rsidR="007B5F0A" w:rsidRDefault="007B5F0A" w:rsidP="007B5F0A">
      <w:pPr>
        <w:jc w:val="both"/>
      </w:pPr>
      <w:r w:rsidRPr="00963670">
        <w:t>Variación interanual del Índice de la Producción Minera y de Hidrocarburos</w:t>
      </w:r>
    </w:p>
    <w:p w14:paraId="6F39303C" w14:textId="65C4B065" w:rsidR="00470D24" w:rsidRDefault="00470D24" w:rsidP="00470D24">
      <w:pPr>
        <w:jc w:val="both"/>
      </w:pPr>
      <w:r>
        <w:t>En abril 2025, la variación de 8,55% fue explicada por la expansión de la actividad minera metálica en 10,64% con una contribución de 9,16 puntos porcentuales al índice global del sector; sin embargo, el subsector de hidrocarburos presentó disminución de 4,38% con una incidencia negativa de 0,61 puntos porcentuales en el total.</w:t>
      </w:r>
    </w:p>
    <w:p w14:paraId="14B65D26" w14:textId="59859E15" w:rsidR="00470D24" w:rsidRDefault="00470D24" w:rsidP="00470D24">
      <w:pPr>
        <w:jc w:val="both"/>
      </w:pPr>
      <w:r>
        <w:t>La minería metálica creció 10,64% ante el mayor nivel de producción de cobre en 8,45%, zinc 49,41%, plata 18,52%, plomo 24,53%, oro 2,86%, hierro 5,76% y estaño en 1,82%; mientras que, la producción de molibdeno se contrajo en 8,99%.</w:t>
      </w:r>
    </w:p>
    <w:p w14:paraId="4F5C0A07" w14:textId="11B3C020" w:rsidR="007B5F0A" w:rsidRDefault="00470D24" w:rsidP="00470D24">
      <w:pPr>
        <w:jc w:val="both"/>
      </w:pPr>
      <w:r>
        <w:t>La producción de hidrocarburos reportó una variación de -4,38%, debido a la menor producción de líquidos de gas natural en -16,16% y de gas natural en -14,49%; en tanto que, la extracción de petróleo crudo aumentó en 26,51%.</w:t>
      </w:r>
      <w:r w:rsidR="007B5F0A">
        <w:br w:type="page"/>
      </w:r>
    </w:p>
    <w:p w14:paraId="18F988FC" w14:textId="72FC9523" w:rsidR="007B5F0A" w:rsidRDefault="007B5F0A" w:rsidP="007B5F0A">
      <w:pPr>
        <w:jc w:val="both"/>
      </w:pPr>
      <w:r w:rsidRPr="00E95DD7">
        <w:lastRenderedPageBreak/>
        <w:t xml:space="preserve">Producción Sectorial: </w:t>
      </w:r>
      <w:r w:rsidR="00264AE1">
        <w:t>Abril</w:t>
      </w:r>
      <w:r w:rsidRPr="00E95DD7">
        <w:t xml:space="preserve"> 2025</w:t>
      </w:r>
    </w:p>
    <w:p w14:paraId="3808E83D" w14:textId="77777777" w:rsidR="007B5F0A" w:rsidRDefault="007B5F0A" w:rsidP="007B5F0A">
      <w:pPr>
        <w:jc w:val="both"/>
      </w:pPr>
      <w:r w:rsidRPr="00FC1E19">
        <w:t>Sector Minería e Hidrocarburos</w:t>
      </w:r>
    </w:p>
    <w:p w14:paraId="48C24AF2" w14:textId="709639ED" w:rsidR="007B5F0A" w:rsidRDefault="00470D24" w:rsidP="00470D24">
      <w:pPr>
        <w:jc w:val="both"/>
      </w:pPr>
      <w:r>
        <w:t>El sector minería e hidrocarburos en abril de 2025 creció en 8,55%, con referencia al nivel de producción de similar mes de 2024, manteniendo expansión por dos meses continuos, como resultado del desempeño positivo de la minería metálica en 10,64%, impulsada por el incremento en los volúmenes de producción de cobre y zinc, principalmente; atenuada por la contracción del subsector de hidrocarburos en 4,38%, debido a la menor explotación de líquidos de gas natural y de gas natural.</w:t>
      </w:r>
    </w:p>
    <w:p w14:paraId="60C1F722" w14:textId="0168A724" w:rsidR="007B5F0A" w:rsidRDefault="00470D24" w:rsidP="00470D24">
      <w:pPr>
        <w:jc w:val="both"/>
      </w:pPr>
      <w:r>
        <w:t>La minería metálica (10,64%) en abril de 2025 aumentó por segundo mes consecutivo sustentada en los mayores niveles de producción de cobre (8,45%) y zinc (49,41%), con un aporte total de 8,27 puntos porcentuales al resultado global del sector, secundada en menor magnitud por las alzas en la producción de plata (18,52%), plomo (24,53%), oro (2,86%), hierro (5,76%) y de estaño (1,82%), los cinco metales con una contribución de 1,76 puntos porcentuales; situación atenuada por la disminución en el volumen de producción de molibdeno (-8,99%) con una incidencia negativa de 0,87 puntos porcentuales.</w:t>
      </w:r>
    </w:p>
    <w:p w14:paraId="0C32CFA9" w14:textId="38092C7C" w:rsidR="007B5F0A" w:rsidRDefault="00470D24" w:rsidP="00470D24">
      <w:pPr>
        <w:jc w:val="both"/>
      </w:pPr>
      <w:r>
        <w:t>El subsector de hidrocarburos en abril de 2025 disminuyó en 4,38%, tras la expansión en marzo pasado, debido a la menor explotación de líquidos de gas natural en -16,16% y de gas natural -14,49%, ambos recursos con una incidencia negativa de 1,59 puntos porcentuales en el resultado consolidado del sector; no obstante, la extracción de petróleo crudo creció en 26,51% y aportó 0,98 puntos porcentuales.</w:t>
      </w:r>
    </w:p>
    <w:p w14:paraId="145546FC" w14:textId="77777777" w:rsidR="007B5F0A" w:rsidRDefault="007B5F0A" w:rsidP="007B5F0A">
      <w:pPr>
        <w:jc w:val="both"/>
      </w:pPr>
      <w:r>
        <w:br w:type="page"/>
      </w:r>
    </w:p>
    <w:p w14:paraId="40691E2B" w14:textId="66771727" w:rsidR="00456671" w:rsidRDefault="00456671" w:rsidP="007B5F0A">
      <w:pPr>
        <w:jc w:val="both"/>
      </w:pPr>
      <w:r w:rsidRPr="00456671">
        <w:lastRenderedPageBreak/>
        <w:t>Producción Sectorial: Enero-Abril 2025</w:t>
      </w:r>
    </w:p>
    <w:p w14:paraId="22FC02D5" w14:textId="77777777" w:rsidR="007B5F0A" w:rsidRDefault="007B5F0A" w:rsidP="007B5F0A">
      <w:pPr>
        <w:jc w:val="both"/>
      </w:pPr>
      <w:r w:rsidRPr="00AA60AE">
        <w:t>Sector Minería e Hidrocarburos</w:t>
      </w:r>
    </w:p>
    <w:p w14:paraId="314F43C9" w14:textId="28039002" w:rsidR="00456671" w:rsidRDefault="00456671" w:rsidP="00456671">
      <w:pPr>
        <w:jc w:val="both"/>
      </w:pPr>
      <w:r>
        <w:t>El sector minería e hidrocarburos en el periodo enero – abril de 2025 presentó un crecimiento acumulado de 3,88%, como resultado de la evolución ascendente de la actividad minera metálica en 4,97%, sobre la base de los mayores volúmenes de producción de cobre en 5,16%, zinc 11,74%, molibdeno 7,01% y de plata en 12,72%, los cuatro metales con una contribución de 4,78 puntos porcentuales al desempeño consolidado del sector, coadyuvado por los incrementos en la producción acumulada de plomo en 8,14% y de hierro en 0,66%, ambos productos con un aporte de 0,17 puntos porcentuales; sin embargo, hubo variación acumulada negativa en la producción de oro (-7,36%) y de estaño (-0,14%), ambos metales con una incidencia negativa de 0,67 puntos porcentuales.</w:t>
      </w:r>
    </w:p>
    <w:p w14:paraId="1F848055" w14:textId="0DB82154" w:rsidR="007B5F0A" w:rsidRDefault="00456671" w:rsidP="00456671">
      <w:pPr>
        <w:jc w:val="both"/>
      </w:pPr>
      <w:r>
        <w:t>Por otro lado, el subsector de hidrocarburos registró una variación acumulada negativa de 2,83% en el periodo de referencia, debido al menor volumen de explotación de líquidos de gas natural (-10,44%) y de gas natural (-7,12%), ambos recursos con una incidencia negativa de 0,93 puntos porcentuales al resultado global del sector; a diferencia de la mayor producción acumulada de petróleo crudo en 14,76% que significó una contribución de 0,54 puntos porcentuales.</w:t>
      </w:r>
    </w:p>
    <w:p w14:paraId="393C0915" w14:textId="77777777" w:rsidR="007B5F0A" w:rsidRDefault="007B5F0A" w:rsidP="007B5F0A"/>
    <w:p w14:paraId="4F353A0D" w14:textId="77777777" w:rsidR="007B5F0A" w:rsidRDefault="007B5F0A" w:rsidP="007B5F0A"/>
    <w:p w14:paraId="4800F33E" w14:textId="77777777" w:rsidR="007B5F0A" w:rsidRDefault="007B5F0A" w:rsidP="007B5F0A"/>
    <w:p w14:paraId="4E3C3D85" w14:textId="77777777" w:rsidR="0034678C" w:rsidRDefault="0034678C"/>
    <w:sectPr w:rsidR="003467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581F5E"/>
    <w:multiLevelType w:val="hybridMultilevel"/>
    <w:tmpl w:val="141A8A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5022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0A"/>
    <w:rsid w:val="00264AE1"/>
    <w:rsid w:val="00344F53"/>
    <w:rsid w:val="0034678C"/>
    <w:rsid w:val="00456671"/>
    <w:rsid w:val="00470D24"/>
    <w:rsid w:val="007B5F0A"/>
    <w:rsid w:val="00BD32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8812"/>
  <w15:chartTrackingRefBased/>
  <w15:docId w15:val="{B89F22A9-45D0-4F3F-A408-C15984C46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F0A"/>
  </w:style>
  <w:style w:type="paragraph" w:styleId="Ttulo1">
    <w:name w:val="heading 1"/>
    <w:basedOn w:val="Normal"/>
    <w:next w:val="Normal"/>
    <w:link w:val="Ttulo1Car"/>
    <w:uiPriority w:val="9"/>
    <w:qFormat/>
    <w:rsid w:val="007B5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5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5F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5F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5F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5F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5F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5F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5F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5F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5F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5F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5F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5F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5F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5F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5F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5F0A"/>
    <w:rPr>
      <w:rFonts w:eastAsiaTheme="majorEastAsia" w:cstheme="majorBidi"/>
      <w:color w:val="272727" w:themeColor="text1" w:themeTint="D8"/>
    </w:rPr>
  </w:style>
  <w:style w:type="paragraph" w:styleId="Ttulo">
    <w:name w:val="Title"/>
    <w:basedOn w:val="Normal"/>
    <w:next w:val="Normal"/>
    <w:link w:val="TtuloCar"/>
    <w:uiPriority w:val="10"/>
    <w:qFormat/>
    <w:rsid w:val="007B5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5F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5F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5F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5F0A"/>
    <w:pPr>
      <w:spacing w:before="160"/>
      <w:jc w:val="center"/>
    </w:pPr>
    <w:rPr>
      <w:i/>
      <w:iCs/>
      <w:color w:val="404040" w:themeColor="text1" w:themeTint="BF"/>
    </w:rPr>
  </w:style>
  <w:style w:type="character" w:customStyle="1" w:styleId="CitaCar">
    <w:name w:val="Cita Car"/>
    <w:basedOn w:val="Fuentedeprrafopredeter"/>
    <w:link w:val="Cita"/>
    <w:uiPriority w:val="29"/>
    <w:rsid w:val="007B5F0A"/>
    <w:rPr>
      <w:i/>
      <w:iCs/>
      <w:color w:val="404040" w:themeColor="text1" w:themeTint="BF"/>
    </w:rPr>
  </w:style>
  <w:style w:type="paragraph" w:styleId="Prrafodelista">
    <w:name w:val="List Paragraph"/>
    <w:basedOn w:val="Normal"/>
    <w:uiPriority w:val="34"/>
    <w:qFormat/>
    <w:rsid w:val="007B5F0A"/>
    <w:pPr>
      <w:ind w:left="720"/>
      <w:contextualSpacing/>
    </w:pPr>
  </w:style>
  <w:style w:type="character" w:styleId="nfasisintenso">
    <w:name w:val="Intense Emphasis"/>
    <w:basedOn w:val="Fuentedeprrafopredeter"/>
    <w:uiPriority w:val="21"/>
    <w:qFormat/>
    <w:rsid w:val="007B5F0A"/>
    <w:rPr>
      <w:i/>
      <w:iCs/>
      <w:color w:val="0F4761" w:themeColor="accent1" w:themeShade="BF"/>
    </w:rPr>
  </w:style>
  <w:style w:type="paragraph" w:styleId="Citadestacada">
    <w:name w:val="Intense Quote"/>
    <w:basedOn w:val="Normal"/>
    <w:next w:val="Normal"/>
    <w:link w:val="CitadestacadaCar"/>
    <w:uiPriority w:val="30"/>
    <w:qFormat/>
    <w:rsid w:val="007B5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5F0A"/>
    <w:rPr>
      <w:i/>
      <w:iCs/>
      <w:color w:val="0F4761" w:themeColor="accent1" w:themeShade="BF"/>
    </w:rPr>
  </w:style>
  <w:style w:type="character" w:styleId="Referenciaintensa">
    <w:name w:val="Intense Reference"/>
    <w:basedOn w:val="Fuentedeprrafopredeter"/>
    <w:uiPriority w:val="32"/>
    <w:qFormat/>
    <w:rsid w:val="007B5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673</Words>
  <Characters>3703</Characters>
  <Application>Microsoft Office Word</Application>
  <DocSecurity>0</DocSecurity>
  <Lines>30</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dc:creator>
  <cp:keywords/>
  <dc:description/>
  <cp:lastModifiedBy>JC</cp:lastModifiedBy>
  <cp:revision>4</cp:revision>
  <dcterms:created xsi:type="dcterms:W3CDTF">2026-04-26T17:06:00Z</dcterms:created>
  <dcterms:modified xsi:type="dcterms:W3CDTF">2026-04-26T17:17:00Z</dcterms:modified>
</cp:coreProperties>
</file>