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39766" w14:textId="77777777" w:rsidR="004B7D97" w:rsidRDefault="004B7D97" w:rsidP="004B7D97">
      <w:r>
        <w:t>EVOLUCIÓN SECTORIAL</w:t>
      </w:r>
    </w:p>
    <w:p w14:paraId="4653E3AB" w14:textId="77777777" w:rsidR="004B7D97" w:rsidRDefault="004B7D97" w:rsidP="004B7D97">
      <w:r>
        <w:t>Índice de la Producción Minera y de Hidrocarburos</w:t>
      </w:r>
    </w:p>
    <w:p w14:paraId="1B51F921" w14:textId="77777777" w:rsidR="004B7D97" w:rsidRDefault="004B7D97" w:rsidP="004B7D97">
      <w:r>
        <w:t>Año base 2007</w:t>
      </w:r>
    </w:p>
    <w:p w14:paraId="335ACF34" w14:textId="49A89F30" w:rsidR="007925A6" w:rsidRDefault="007925A6" w:rsidP="007925A6">
      <w:pPr>
        <w:pStyle w:val="Prrafodelista"/>
        <w:numPr>
          <w:ilvl w:val="0"/>
          <w:numId w:val="1"/>
        </w:numPr>
        <w:jc w:val="both"/>
      </w:pPr>
      <w:r>
        <w:t>El Índice de la Producción Minera y de</w:t>
      </w:r>
      <w:r>
        <w:t xml:space="preserve"> </w:t>
      </w:r>
      <w:r>
        <w:t>Hidrocarburos registró aumento de 1,01% en</w:t>
      </w:r>
      <w:r>
        <w:t xml:space="preserve"> </w:t>
      </w:r>
      <w:r>
        <w:t>junio 2025, como resultado del crecimiento</w:t>
      </w:r>
      <w:r>
        <w:t xml:space="preserve"> </w:t>
      </w:r>
      <w:r>
        <w:t>del subsector minero metálico en 1,93%, ante</w:t>
      </w:r>
      <w:r>
        <w:t xml:space="preserve"> </w:t>
      </w:r>
      <w:r>
        <w:t>mayor nivel de producción de cobre, zinc y</w:t>
      </w:r>
      <w:r>
        <w:t xml:space="preserve"> </w:t>
      </w:r>
      <w:r>
        <w:t>oro, principalmente; sin embargo, el subsector</w:t>
      </w:r>
      <w:r>
        <w:t xml:space="preserve"> </w:t>
      </w:r>
      <w:r>
        <w:t>hidrocarburos se contrajo en 4,74% por menor</w:t>
      </w:r>
      <w:r>
        <w:t xml:space="preserve"> </w:t>
      </w:r>
      <w:r>
        <w:t>volumen de explotación de líquidos de gas</w:t>
      </w:r>
      <w:r>
        <w:t xml:space="preserve"> </w:t>
      </w:r>
      <w:r>
        <w:t>natural y de gas natural.</w:t>
      </w:r>
    </w:p>
    <w:p w14:paraId="5195721B" w14:textId="23860A53" w:rsidR="004B7D97" w:rsidRDefault="007925A6" w:rsidP="007925A6">
      <w:pPr>
        <w:pStyle w:val="Prrafodelista"/>
        <w:numPr>
          <w:ilvl w:val="0"/>
          <w:numId w:val="1"/>
        </w:numPr>
        <w:jc w:val="both"/>
      </w:pPr>
      <w:r>
        <w:t>El buen desempeño de la actividad minera</w:t>
      </w:r>
      <w:r>
        <w:t xml:space="preserve"> </w:t>
      </w:r>
      <w:r>
        <w:t>metálica en junio 2025 estuvo asociado al</w:t>
      </w:r>
      <w:r>
        <w:t xml:space="preserve"> </w:t>
      </w:r>
      <w:r>
        <w:t>mayor tonelaje procesado en las plantas</w:t>
      </w:r>
      <w:r>
        <w:t xml:space="preserve"> </w:t>
      </w:r>
      <w:r>
        <w:t>concentradoras, debido al minado en zonas de</w:t>
      </w:r>
      <w:r>
        <w:t xml:space="preserve"> </w:t>
      </w:r>
      <w:r>
        <w:t>alta ley de mineral.</w:t>
      </w:r>
    </w:p>
    <w:p w14:paraId="6D474681" w14:textId="77777777" w:rsidR="004B7D97" w:rsidRDefault="004B7D97" w:rsidP="004B7D97">
      <w:pPr>
        <w:jc w:val="both"/>
      </w:pPr>
      <w:r w:rsidRPr="00963670">
        <w:t>Variación interanual del Índice de la Producción Minera y de Hidrocarburos</w:t>
      </w:r>
    </w:p>
    <w:p w14:paraId="445B32B8" w14:textId="07AE1E3B" w:rsidR="007925A6" w:rsidRDefault="007925A6" w:rsidP="007925A6">
      <w:pPr>
        <w:jc w:val="both"/>
      </w:pPr>
      <w:r>
        <w:t>En junio 2025, la variación de 1,01% fue explicada</w:t>
      </w:r>
      <w:r>
        <w:t xml:space="preserve"> </w:t>
      </w:r>
      <w:r>
        <w:t>por el incremento de la actividad minera metálica</w:t>
      </w:r>
      <w:r>
        <w:t xml:space="preserve"> </w:t>
      </w:r>
      <w:r>
        <w:t>en 1,93% con una contribución de 1,66 puntos</w:t>
      </w:r>
      <w:r>
        <w:t xml:space="preserve"> </w:t>
      </w:r>
      <w:r>
        <w:t>porcentuales en el índice global del sector; sin</w:t>
      </w:r>
      <w:r>
        <w:t xml:space="preserve"> </w:t>
      </w:r>
      <w:r>
        <w:t>embargo, el subsector hidrocarburos reportó una</w:t>
      </w:r>
      <w:r>
        <w:t xml:space="preserve"> </w:t>
      </w:r>
      <w:r>
        <w:t>contracción de 4,74% con una incidencia negativa</w:t>
      </w:r>
      <w:r>
        <w:t xml:space="preserve"> </w:t>
      </w:r>
      <w:r>
        <w:t>de 0,66 puntos porcentuales en el total.</w:t>
      </w:r>
    </w:p>
    <w:p w14:paraId="7EBBCE1B" w14:textId="65AB3C6C" w:rsidR="007925A6" w:rsidRDefault="007925A6" w:rsidP="007925A6">
      <w:pPr>
        <w:jc w:val="both"/>
      </w:pPr>
      <w:r>
        <w:t>La minería metálica creció 1,93% por el mayor nivel</w:t>
      </w:r>
      <w:r>
        <w:t xml:space="preserve"> </w:t>
      </w:r>
      <w:r>
        <w:t>de producción de cobre en 7,12%, zinc 27,59%, oro</w:t>
      </w:r>
      <w:r>
        <w:t xml:space="preserve"> </w:t>
      </w:r>
      <w:r>
        <w:t>7,02%, plata 3,89%, plomo 9,64% y de estaño en</w:t>
      </w:r>
      <w:r>
        <w:t xml:space="preserve"> </w:t>
      </w:r>
      <w:r>
        <w:t>0,40%; en tanto que, la producción de hierro varió</w:t>
      </w:r>
      <w:r>
        <w:t xml:space="preserve"> </w:t>
      </w:r>
      <w:r>
        <w:t>en -98,32% y de molibdeno en -23,95%.</w:t>
      </w:r>
    </w:p>
    <w:p w14:paraId="0A3F411C" w14:textId="76730B23" w:rsidR="004B7D97" w:rsidRDefault="007925A6" w:rsidP="007925A6">
      <w:pPr>
        <w:jc w:val="both"/>
      </w:pPr>
      <w:r>
        <w:t>La producción de hidrocarburos disminuyó en 4,74%,</w:t>
      </w:r>
      <w:r>
        <w:t xml:space="preserve"> </w:t>
      </w:r>
      <w:r>
        <w:t>debido a la menor explotación de líquidos de gas</w:t>
      </w:r>
      <w:r>
        <w:t xml:space="preserve"> </w:t>
      </w:r>
      <w:r>
        <w:t>natural en -10,56% y de gas natural en -2,91%; en</w:t>
      </w:r>
      <w:r>
        <w:t xml:space="preserve"> </w:t>
      </w:r>
      <w:r>
        <w:t>cambio, la extracción de petróleo crudo aumentó</w:t>
      </w:r>
      <w:r>
        <w:t xml:space="preserve"> </w:t>
      </w:r>
      <w:r>
        <w:t>en 2,94%.</w:t>
      </w:r>
      <w:r w:rsidR="004B7D97">
        <w:br w:type="page"/>
      </w:r>
    </w:p>
    <w:p w14:paraId="37B17C34" w14:textId="38BA09C9" w:rsidR="004B7D97" w:rsidRDefault="004B7D97" w:rsidP="004B7D97">
      <w:pPr>
        <w:jc w:val="both"/>
      </w:pPr>
      <w:r w:rsidRPr="00E95DD7">
        <w:lastRenderedPageBreak/>
        <w:t>Producción Sectorial: Ju</w:t>
      </w:r>
      <w:r w:rsidR="007925A6">
        <w:t>n</w:t>
      </w:r>
      <w:r w:rsidRPr="00E95DD7">
        <w:t>io 2025</w:t>
      </w:r>
    </w:p>
    <w:p w14:paraId="2EF6B71A" w14:textId="77777777" w:rsidR="004B7D97" w:rsidRDefault="004B7D97" w:rsidP="004B7D97">
      <w:pPr>
        <w:jc w:val="both"/>
      </w:pPr>
      <w:r w:rsidRPr="00FC1E19">
        <w:t>Sector Minería e Hidrocarburos</w:t>
      </w:r>
    </w:p>
    <w:p w14:paraId="49DB1C9D" w14:textId="4F6466D7" w:rsidR="004B7D97" w:rsidRDefault="007925A6" w:rsidP="007925A6">
      <w:pPr>
        <w:jc w:val="both"/>
      </w:pPr>
      <w:r>
        <w:t>El sector minería e hidrocarburos</w:t>
      </w:r>
      <w:r>
        <w:t xml:space="preserve"> </w:t>
      </w:r>
      <w:r>
        <w:t>en junio de 2025 creció en 1,01%,</w:t>
      </w:r>
      <w:r>
        <w:t xml:space="preserve"> </w:t>
      </w:r>
      <w:r>
        <w:t>con respecto al nivel de producción</w:t>
      </w:r>
      <w:r>
        <w:t xml:space="preserve"> </w:t>
      </w:r>
      <w:r>
        <w:t>de similar mes del 2024, luego de</w:t>
      </w:r>
      <w:r>
        <w:t xml:space="preserve"> </w:t>
      </w:r>
      <w:r>
        <w:t>la contracción en mayo pasado,</w:t>
      </w:r>
      <w:r>
        <w:t xml:space="preserve"> </w:t>
      </w:r>
      <w:r>
        <w:t>como resultado del desempeño</w:t>
      </w:r>
      <w:r>
        <w:t xml:space="preserve"> </w:t>
      </w:r>
      <w:r>
        <w:t>positivo de la actividad minera</w:t>
      </w:r>
      <w:r>
        <w:t xml:space="preserve"> </w:t>
      </w:r>
      <w:r>
        <w:t>metálica en 1,93%, sobre la base</w:t>
      </w:r>
      <w:r>
        <w:t xml:space="preserve"> </w:t>
      </w:r>
      <w:r>
        <w:t>de los mayores volúmenes de</w:t>
      </w:r>
      <w:r>
        <w:t xml:space="preserve"> </w:t>
      </w:r>
      <w:r>
        <w:t>producción de cobre, zinc, oro,</w:t>
      </w:r>
      <w:r>
        <w:t xml:space="preserve"> </w:t>
      </w:r>
      <w:r>
        <w:t>plata, plomo y estaño; en tanto</w:t>
      </w:r>
      <w:r>
        <w:t xml:space="preserve"> </w:t>
      </w:r>
      <w:r>
        <w:t>que, el subsector de hidrocarburos</w:t>
      </w:r>
      <w:r>
        <w:t xml:space="preserve"> </w:t>
      </w:r>
      <w:r>
        <w:t>disminuyó en 4,74% por la menor</w:t>
      </w:r>
      <w:r>
        <w:t xml:space="preserve"> </w:t>
      </w:r>
      <w:r>
        <w:t>explotación de líquidos de gas natural y de gas natural</w:t>
      </w:r>
      <w:r w:rsidR="004B7D97">
        <w:t>.</w:t>
      </w:r>
    </w:p>
    <w:p w14:paraId="75E58767" w14:textId="4B18A6FA" w:rsidR="004B7D97" w:rsidRDefault="007925A6" w:rsidP="007925A6">
      <w:pPr>
        <w:jc w:val="both"/>
      </w:pPr>
      <w:r>
        <w:t>La minería metálica (1,93%) en junio de 2025 se recuperó tras el retroceso en el mes precedente,</w:t>
      </w:r>
      <w:r>
        <w:t xml:space="preserve"> </w:t>
      </w:r>
      <w:r>
        <w:t>impulsada por los niveles superiores de producción de cobre (7,12%), zinc (27,59%) y oro (7,02%), los</w:t>
      </w:r>
      <w:r>
        <w:t xml:space="preserve"> </w:t>
      </w:r>
      <w:r>
        <w:t>tres metales con un aporte de 6,55 puntos porcentuales al resultado global del sector, secundada en</w:t>
      </w:r>
      <w:r>
        <w:t xml:space="preserve"> </w:t>
      </w:r>
      <w:r>
        <w:t>menor magnitud por las alzas en la producción de plata (3,89%), plomo (9,64%) y de estaño (0,40%),</w:t>
      </w:r>
      <w:r>
        <w:t xml:space="preserve"> </w:t>
      </w:r>
      <w:r>
        <w:t>que en conjunto contribuyeron con 0,38 puntos porcentuales; situación atenuada parcialmente por</w:t>
      </w:r>
      <w:r>
        <w:t xml:space="preserve"> </w:t>
      </w:r>
      <w:r>
        <w:t>la disminución en los volúmenes de producción de hierro (-98,32%) y de molibdeno (-23,95%), ambos</w:t>
      </w:r>
      <w:r>
        <w:t xml:space="preserve"> </w:t>
      </w:r>
      <w:r>
        <w:t>metales con una incidencia negativa de 5,27 puntos porcentuales</w:t>
      </w:r>
      <w:r w:rsidR="004B7D97">
        <w:t>.</w:t>
      </w:r>
    </w:p>
    <w:p w14:paraId="0188687E" w14:textId="2F8FC047" w:rsidR="004B7D97" w:rsidRDefault="007925A6" w:rsidP="007925A6">
      <w:pPr>
        <w:jc w:val="both"/>
      </w:pPr>
      <w:r>
        <w:t>El subsector de hidrocarburos en junio de 2025 disminuyó en 4,74%, manteniendo una contracción</w:t>
      </w:r>
      <w:r>
        <w:t xml:space="preserve"> </w:t>
      </w:r>
      <w:r>
        <w:t>continua desde abril pasado, debido a la menor explotación de líquidos de gas natural en -10,56% y de gas</w:t>
      </w:r>
      <w:r>
        <w:t xml:space="preserve"> </w:t>
      </w:r>
      <w:r>
        <w:t>natural -2,91%, ambos recursos con una incidencia negativa de 0,76 puntos porcentuales en el resultado</w:t>
      </w:r>
      <w:r>
        <w:t xml:space="preserve"> </w:t>
      </w:r>
      <w:r>
        <w:t>integral del sector; no obstante, la extracción de petróleo crudo aumentó en 2,94% y contribuyó con 0,11</w:t>
      </w:r>
      <w:r>
        <w:t xml:space="preserve"> </w:t>
      </w:r>
      <w:r>
        <w:t>puntos porcentuales</w:t>
      </w:r>
      <w:r w:rsidR="004B7D97">
        <w:t>.</w:t>
      </w:r>
    </w:p>
    <w:p w14:paraId="691D56CE" w14:textId="77777777" w:rsidR="004B7D97" w:rsidRDefault="004B7D97" w:rsidP="004B7D97">
      <w:pPr>
        <w:jc w:val="both"/>
      </w:pPr>
      <w:r>
        <w:br w:type="page"/>
      </w:r>
    </w:p>
    <w:p w14:paraId="2394F2AB" w14:textId="794DAE9E" w:rsidR="007925A6" w:rsidRDefault="007925A6" w:rsidP="004B7D97">
      <w:pPr>
        <w:jc w:val="both"/>
      </w:pPr>
      <w:r w:rsidRPr="007925A6">
        <w:lastRenderedPageBreak/>
        <w:t>Producción Sectorial: Enero-Junio 2025</w:t>
      </w:r>
    </w:p>
    <w:p w14:paraId="52D37CFD" w14:textId="77777777" w:rsidR="004B7D97" w:rsidRDefault="004B7D97" w:rsidP="004B7D97">
      <w:pPr>
        <w:jc w:val="both"/>
      </w:pPr>
      <w:r w:rsidRPr="00AA60AE">
        <w:t>Sector Minería e Hidrocarburos</w:t>
      </w:r>
    </w:p>
    <w:p w14:paraId="56B5F57F" w14:textId="5B2D13F4" w:rsidR="007925A6" w:rsidRDefault="007925A6" w:rsidP="007925A6">
      <w:pPr>
        <w:jc w:val="both"/>
      </w:pPr>
      <w:r>
        <w:t>El sector minería e hidrocarburos, en el periodo enero – junio de 2025, registró un crecimiento de 1,53%,</w:t>
      </w:r>
      <w:r>
        <w:t xml:space="preserve"> </w:t>
      </w:r>
      <w:r>
        <w:t>como resultado del desempeño positivo de la actividad minera metálica en 2,34%, sustentado en los</w:t>
      </w:r>
      <w:r>
        <w:t xml:space="preserve"> </w:t>
      </w:r>
      <w:r>
        <w:t>mayores volúmenes de producción de cobre en 3,67%, zinc 13,60% y plata en 9,32%, los tres metales</w:t>
      </w:r>
      <w:r>
        <w:t xml:space="preserve"> </w:t>
      </w:r>
      <w:r>
        <w:t>con una contribución de 3,47 puntos porcentuales al resultado consolidado del sector, coadyuvado por</w:t>
      </w:r>
      <w:r>
        <w:t xml:space="preserve"> </w:t>
      </w:r>
      <w:r>
        <w:t>los incrementos en la producción acumulada de plomo en 7,84% y de estaño 0,74% con un aporte total</w:t>
      </w:r>
      <w:r>
        <w:t xml:space="preserve"> </w:t>
      </w:r>
      <w:r>
        <w:t>de 0,14 puntos porcentuales; atenuada parcialmente por la menor producción de hierro (-25,88%),</w:t>
      </w:r>
      <w:r>
        <w:t xml:space="preserve"> </w:t>
      </w:r>
      <w:r>
        <w:t>molibdeno (-4,37%) y de oro (-4,39%), los tres productos con una incidencia negativa de 1,60 puntos</w:t>
      </w:r>
      <w:r>
        <w:t xml:space="preserve"> </w:t>
      </w:r>
      <w:r>
        <w:t>porcentuales.</w:t>
      </w:r>
    </w:p>
    <w:p w14:paraId="37DF1F7D" w14:textId="1D97F470" w:rsidR="004B7D97" w:rsidRDefault="007925A6" w:rsidP="007925A6">
      <w:pPr>
        <w:jc w:val="both"/>
      </w:pPr>
      <w:r>
        <w:t>Por otro lado, el subsector de hidrocarburos presentó una variación acumulada negativa</w:t>
      </w:r>
      <w:r>
        <w:t xml:space="preserve"> </w:t>
      </w:r>
      <w:r>
        <w:t>de 3,53% en el periodo de referencia, ante el menor volumen de explotación de líquidos de gas natural</w:t>
      </w:r>
      <w:r>
        <w:t xml:space="preserve"> </w:t>
      </w:r>
      <w:r>
        <w:t>(-11,41%) y de gas natural (-6,25%), los dos recursos con una incidencia de -0,95 puntos porcentuales en</w:t>
      </w:r>
      <w:r>
        <w:t xml:space="preserve"> </w:t>
      </w:r>
      <w:r>
        <w:t>la evolución global del sector; en contraste, la producción acumulada de petróleo crudo se expandió en</w:t>
      </w:r>
      <w:r>
        <w:t xml:space="preserve"> </w:t>
      </w:r>
      <w:r>
        <w:t>13,14% con una contribución de 0,47 puntos porcentuales.</w:t>
      </w:r>
    </w:p>
    <w:p w14:paraId="05C7BE54" w14:textId="77777777" w:rsidR="004B7D97" w:rsidRDefault="004B7D97" w:rsidP="004B7D97"/>
    <w:p w14:paraId="49EDDC68" w14:textId="77777777" w:rsidR="0034678C" w:rsidRDefault="0034678C"/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97"/>
    <w:rsid w:val="00344F53"/>
    <w:rsid w:val="0034678C"/>
    <w:rsid w:val="004B7D97"/>
    <w:rsid w:val="007925A6"/>
    <w:rsid w:val="00BD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52FB98"/>
  <w15:chartTrackingRefBased/>
  <w15:docId w15:val="{920518F8-1DFD-445F-B8AA-0673A189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D97"/>
  </w:style>
  <w:style w:type="paragraph" w:styleId="Ttulo1">
    <w:name w:val="heading 1"/>
    <w:basedOn w:val="Normal"/>
    <w:next w:val="Normal"/>
    <w:link w:val="Ttulo1Car"/>
    <w:uiPriority w:val="9"/>
    <w:qFormat/>
    <w:rsid w:val="004B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D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D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D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D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D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D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D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D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D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D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672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2</cp:revision>
  <dcterms:created xsi:type="dcterms:W3CDTF">2026-04-26T16:58:00Z</dcterms:created>
  <dcterms:modified xsi:type="dcterms:W3CDTF">2026-04-26T17:03:00Z</dcterms:modified>
</cp:coreProperties>
</file>