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00D1F" w14:textId="77777777" w:rsidR="003B2FFC" w:rsidRDefault="003B2FFC" w:rsidP="003B2FFC">
      <w:r>
        <w:t>EVOLUCIÓN SECTORIAL</w:t>
      </w:r>
    </w:p>
    <w:p w14:paraId="4A146176" w14:textId="77777777" w:rsidR="003B2FFC" w:rsidRDefault="003B2FFC" w:rsidP="003B2FFC">
      <w:r>
        <w:t>Índice de la Producción Minera y de Hidrocarburos</w:t>
      </w:r>
    </w:p>
    <w:p w14:paraId="0AEBC7CF" w14:textId="77777777" w:rsidR="003B2FFC" w:rsidRDefault="003B2FFC" w:rsidP="003B2FFC">
      <w:r>
        <w:t>Año base 2007</w:t>
      </w:r>
    </w:p>
    <w:p w14:paraId="64AC4853" w14:textId="4B8E3EDA" w:rsidR="00E95DD7" w:rsidRDefault="00E95DD7" w:rsidP="00E95DD7">
      <w:pPr>
        <w:pStyle w:val="Prrafodelista"/>
        <w:numPr>
          <w:ilvl w:val="0"/>
          <w:numId w:val="1"/>
        </w:numPr>
        <w:jc w:val="both"/>
      </w:pPr>
      <w:r>
        <w:t>El Índice de la Producción Minera y de</w:t>
      </w:r>
      <w:r>
        <w:t xml:space="preserve"> </w:t>
      </w:r>
      <w:r>
        <w:t>Hidrocarburos registró aumento de 1,95% en</w:t>
      </w:r>
      <w:r>
        <w:t xml:space="preserve"> </w:t>
      </w:r>
      <w:r>
        <w:t>julio 2025, por el crecimiento del subsector</w:t>
      </w:r>
      <w:r>
        <w:t xml:space="preserve"> </w:t>
      </w:r>
      <w:r>
        <w:t>minero metálico en 1,92%, con mayor nivel de</w:t>
      </w:r>
      <w:r>
        <w:t xml:space="preserve"> </w:t>
      </w:r>
      <w:r>
        <w:t>producción de zinc, cobre y oro, principalmente;</w:t>
      </w:r>
      <w:r>
        <w:t xml:space="preserve"> </w:t>
      </w:r>
      <w:r>
        <w:t>y del subsector hidrocarburos en 2,16% ante</w:t>
      </w:r>
      <w:r>
        <w:t xml:space="preserve"> </w:t>
      </w:r>
      <w:r>
        <w:t>mayor volumen de extracción de petróleo crudo.</w:t>
      </w:r>
    </w:p>
    <w:p w14:paraId="14A7FDEE" w14:textId="5628DA2A" w:rsidR="003B2FFC" w:rsidRDefault="00E95DD7" w:rsidP="00E95DD7">
      <w:pPr>
        <w:pStyle w:val="Prrafodelista"/>
        <w:numPr>
          <w:ilvl w:val="0"/>
          <w:numId w:val="1"/>
        </w:numPr>
        <w:jc w:val="both"/>
      </w:pPr>
      <w:r>
        <w:t>El comportamiento positivo de la actividad</w:t>
      </w:r>
      <w:r>
        <w:t xml:space="preserve"> </w:t>
      </w:r>
      <w:r>
        <w:t>minera metálica en julio 2025 estuvo asociado</w:t>
      </w:r>
      <w:r>
        <w:t xml:space="preserve"> </w:t>
      </w:r>
      <w:r>
        <w:t>al mayor tonelaje procesado en las plantas</w:t>
      </w:r>
      <w:r>
        <w:t xml:space="preserve"> </w:t>
      </w:r>
      <w:r>
        <w:t>concentradoras, debido al minado en zonas de</w:t>
      </w:r>
      <w:r>
        <w:t xml:space="preserve"> </w:t>
      </w:r>
      <w:r>
        <w:t>alta ley de mineral</w:t>
      </w:r>
      <w:r w:rsidR="003B2FFC">
        <w:t>.</w:t>
      </w:r>
    </w:p>
    <w:p w14:paraId="0BC545D1" w14:textId="77777777" w:rsidR="003B2FFC" w:rsidRDefault="003B2FFC" w:rsidP="003B2FFC">
      <w:pPr>
        <w:jc w:val="both"/>
      </w:pPr>
      <w:r w:rsidRPr="00963670">
        <w:t>Variación interanual del Índice de la Producción Minera y de Hidrocarburos</w:t>
      </w:r>
    </w:p>
    <w:p w14:paraId="0619B111" w14:textId="293990A9" w:rsidR="00E95DD7" w:rsidRDefault="00E95DD7" w:rsidP="00E95DD7">
      <w:pPr>
        <w:jc w:val="both"/>
      </w:pPr>
      <w:r>
        <w:t>En julio 2025, la variación de 1,95% fue resultado</w:t>
      </w:r>
      <w:r>
        <w:t xml:space="preserve"> </w:t>
      </w:r>
      <w:r>
        <w:t>del avance de la actividad minera metálica en 1,92%</w:t>
      </w:r>
      <w:r>
        <w:t xml:space="preserve"> </w:t>
      </w:r>
      <w:r>
        <w:t>con una contribución de 1,66 puntos porcentuales</w:t>
      </w:r>
      <w:r>
        <w:t xml:space="preserve"> </w:t>
      </w:r>
      <w:r>
        <w:t>en el índice global del sector; y del subsector</w:t>
      </w:r>
      <w:r>
        <w:t xml:space="preserve"> </w:t>
      </w:r>
      <w:r>
        <w:t>hidrocarburos en 2,16% con una incidencia de</w:t>
      </w:r>
      <w:r>
        <w:t xml:space="preserve"> </w:t>
      </w:r>
      <w:r>
        <w:t>0,30 puntos porcentuales en el total.</w:t>
      </w:r>
    </w:p>
    <w:p w14:paraId="288C34EE" w14:textId="18E0DCD5" w:rsidR="00E95DD7" w:rsidRDefault="00E95DD7" w:rsidP="00E95DD7">
      <w:pPr>
        <w:jc w:val="both"/>
      </w:pPr>
      <w:r>
        <w:t>La minería metálica creció 1,92% por el mayor</w:t>
      </w:r>
      <w:r>
        <w:t xml:space="preserve"> </w:t>
      </w:r>
      <w:r>
        <w:t>volumen de producción de zinc en 17,25%, cobre</w:t>
      </w:r>
      <w:r>
        <w:t xml:space="preserve"> </w:t>
      </w:r>
      <w:r>
        <w:t>2,02%, oro 7,54%, plata 2,88%, estaño 7,56%</w:t>
      </w:r>
      <w:r>
        <w:t xml:space="preserve"> </w:t>
      </w:r>
      <w:r>
        <w:t>y de plomo en 1,01%; en cambio, disminuyó la</w:t>
      </w:r>
      <w:r>
        <w:t xml:space="preserve"> </w:t>
      </w:r>
      <w:r>
        <w:t>producción de molibdeno en -17,48% y de hierro</w:t>
      </w:r>
      <w:r>
        <w:t xml:space="preserve"> </w:t>
      </w:r>
      <w:r>
        <w:t>en -0,06%.</w:t>
      </w:r>
    </w:p>
    <w:p w14:paraId="0E812A1B" w14:textId="26F5BE4C" w:rsidR="003B2FFC" w:rsidRDefault="00E95DD7" w:rsidP="003B2FFC">
      <w:pPr>
        <w:jc w:val="both"/>
      </w:pPr>
      <w:r>
        <w:t>La producción de hidrocarburos se incrementó</w:t>
      </w:r>
      <w:r>
        <w:t xml:space="preserve"> </w:t>
      </w:r>
      <w:r>
        <w:t>en 2,16%, determinado por la mayor extracción</w:t>
      </w:r>
      <w:r>
        <w:t xml:space="preserve"> </w:t>
      </w:r>
      <w:r>
        <w:t>de petróleo crudo en 14,84%; sin embargo, la</w:t>
      </w:r>
      <w:r>
        <w:t xml:space="preserve"> </w:t>
      </w:r>
      <w:r>
        <w:t>explotación de líquidos de gas natural reportó una</w:t>
      </w:r>
      <w:r>
        <w:t xml:space="preserve"> </w:t>
      </w:r>
      <w:r>
        <w:t>variación de -3,73% y gas natural de -0,64%.</w:t>
      </w:r>
      <w:r w:rsidR="003B2FFC">
        <w:br w:type="page"/>
      </w:r>
    </w:p>
    <w:p w14:paraId="6DCE535E" w14:textId="2F2E947E" w:rsidR="00E95DD7" w:rsidRDefault="00E95DD7" w:rsidP="003B2FFC">
      <w:pPr>
        <w:jc w:val="both"/>
      </w:pPr>
      <w:r w:rsidRPr="00E95DD7">
        <w:lastRenderedPageBreak/>
        <w:t>Producción Sectorial: Julio 2025</w:t>
      </w:r>
    </w:p>
    <w:p w14:paraId="0C38F599" w14:textId="77777777" w:rsidR="003B2FFC" w:rsidRDefault="003B2FFC" w:rsidP="003B2FFC">
      <w:pPr>
        <w:jc w:val="both"/>
      </w:pPr>
      <w:r w:rsidRPr="00FC1E19">
        <w:t>Sector Minería e Hidrocarburos</w:t>
      </w:r>
    </w:p>
    <w:p w14:paraId="0032B35F" w14:textId="2A07C311" w:rsidR="003B2FFC" w:rsidRDefault="00E95DD7" w:rsidP="00E95DD7">
      <w:pPr>
        <w:jc w:val="both"/>
      </w:pPr>
      <w:r>
        <w:t>El sector minería e hidrocarburos</w:t>
      </w:r>
      <w:r>
        <w:t xml:space="preserve"> </w:t>
      </w:r>
      <w:r>
        <w:t>en julio de 2025 creció en 1,95%,</w:t>
      </w:r>
      <w:r>
        <w:t xml:space="preserve"> </w:t>
      </w:r>
      <w:r>
        <w:t>en comparación con el nivel de</w:t>
      </w:r>
      <w:r>
        <w:t xml:space="preserve"> </w:t>
      </w:r>
      <w:r>
        <w:t>producción de julio de 2024, como</w:t>
      </w:r>
      <w:r>
        <w:t xml:space="preserve"> </w:t>
      </w:r>
      <w:r>
        <w:t>resultado de la evolución positiva</w:t>
      </w:r>
      <w:r>
        <w:t xml:space="preserve"> </w:t>
      </w:r>
      <w:r>
        <w:t>de la actividad minera metálica en</w:t>
      </w:r>
      <w:r>
        <w:t xml:space="preserve"> </w:t>
      </w:r>
      <w:r>
        <w:t>1,92%, sobre la base de los mayores</w:t>
      </w:r>
      <w:r>
        <w:t xml:space="preserve"> </w:t>
      </w:r>
      <w:r>
        <w:t>volúmenes de producción de zinc,</w:t>
      </w:r>
      <w:r>
        <w:t xml:space="preserve"> </w:t>
      </w:r>
      <w:r>
        <w:t>cobre, oro, plata, estaño y plomo;</w:t>
      </w:r>
      <w:r>
        <w:t xml:space="preserve"> </w:t>
      </w:r>
      <w:r>
        <w:t>y del subsector de hidrocarburos</w:t>
      </w:r>
      <w:r>
        <w:t xml:space="preserve"> </w:t>
      </w:r>
      <w:r>
        <w:t>en 2,16% ante la mayor extracción</w:t>
      </w:r>
      <w:r>
        <w:t xml:space="preserve"> </w:t>
      </w:r>
      <w:r>
        <w:t>de petróleo crudo.</w:t>
      </w:r>
    </w:p>
    <w:p w14:paraId="3417ED3F" w14:textId="7BC07A98" w:rsidR="003B2FFC" w:rsidRDefault="00E95DD7" w:rsidP="00E95DD7">
      <w:pPr>
        <w:jc w:val="both"/>
      </w:pPr>
      <w:r>
        <w:t>La minería metálica (1,92%) registró crecimiento por segundo mes consecutivo, impulsada por los</w:t>
      </w:r>
      <w:r>
        <w:t xml:space="preserve"> </w:t>
      </w:r>
      <w:r>
        <w:t>mayores volúmenes de producción de zinc (17,25%), cobre (2,02%) y oro (7,54%), los tres metales con un</w:t>
      </w:r>
      <w:r>
        <w:t xml:space="preserve"> </w:t>
      </w:r>
      <w:r>
        <w:t>aporte de 3,15 puntos porcentuales al resultado sectorial, secundada en menor magnitud por las alzas</w:t>
      </w:r>
      <w:r>
        <w:t xml:space="preserve"> </w:t>
      </w:r>
      <w:r>
        <w:t>en la producción de plata (2,88%), estaño (7,56%) y de plomo (1,01%), que en conjunto contribuyeron</w:t>
      </w:r>
      <w:r>
        <w:t xml:space="preserve"> </w:t>
      </w:r>
      <w:r>
        <w:t>con 0,19 puntos porcentuales; situación atenuada parcialmente por la disminución en los volúmenes de</w:t>
      </w:r>
      <w:r>
        <w:t xml:space="preserve"> </w:t>
      </w:r>
      <w:r>
        <w:t>producción de molibdeno (-17,48%) y de hierro (-0,06%), ambos metales con una incidencia conjunta de</w:t>
      </w:r>
      <w:r>
        <w:t xml:space="preserve"> </w:t>
      </w:r>
      <w:r>
        <w:t>-1,68 puntos porcentuales.</w:t>
      </w:r>
    </w:p>
    <w:p w14:paraId="14F56A66" w14:textId="256C33A4" w:rsidR="003B2FFC" w:rsidRDefault="00E95DD7" w:rsidP="00E95DD7">
      <w:pPr>
        <w:jc w:val="both"/>
      </w:pPr>
      <w:r>
        <w:t>El subsector de hidrocarburos en julio de 2025 aumentó 2,16%, mostrando recuperación tras tres meses</w:t>
      </w:r>
      <w:r>
        <w:t xml:space="preserve"> </w:t>
      </w:r>
      <w:r>
        <w:t>de comportamiento contractivo, determinado por la mayor extracción de petróleo crudo en 14,84%,</w:t>
      </w:r>
      <w:r>
        <w:t xml:space="preserve"> </w:t>
      </w:r>
      <w:r>
        <w:t>con una contribución de 0,54 puntos porcentuales en el resultado consolidado del sector; sin embargo,</w:t>
      </w:r>
      <w:r>
        <w:t xml:space="preserve"> </w:t>
      </w:r>
      <w:r>
        <w:t>disminuyó la explotación de líquidos de gas natural en -3,73% y de gas natural -0,64%, ambos recursos</w:t>
      </w:r>
      <w:r>
        <w:t xml:space="preserve"> </w:t>
      </w:r>
      <w:r>
        <w:t>con una incidencia negativa de 0,24 puntos porcentuales.</w:t>
      </w:r>
    </w:p>
    <w:p w14:paraId="25FF8B1F" w14:textId="77777777" w:rsidR="003B2FFC" w:rsidRDefault="003B2FFC" w:rsidP="003B2FFC">
      <w:pPr>
        <w:jc w:val="both"/>
      </w:pPr>
      <w:r>
        <w:br w:type="page"/>
      </w:r>
    </w:p>
    <w:p w14:paraId="53766176" w14:textId="23678A20" w:rsidR="00E95DD7" w:rsidRDefault="00E95DD7" w:rsidP="003B2FFC">
      <w:pPr>
        <w:jc w:val="both"/>
      </w:pPr>
      <w:r w:rsidRPr="00E95DD7">
        <w:lastRenderedPageBreak/>
        <w:t>Producción Sectorial: Enero-Julio 2025</w:t>
      </w:r>
    </w:p>
    <w:p w14:paraId="3986CB4A" w14:textId="77777777" w:rsidR="003B2FFC" w:rsidRDefault="003B2FFC" w:rsidP="003B2FFC">
      <w:pPr>
        <w:jc w:val="both"/>
      </w:pPr>
      <w:r w:rsidRPr="00AA60AE">
        <w:t>Sector Minería e Hidrocarburos</w:t>
      </w:r>
    </w:p>
    <w:p w14:paraId="6F5C9C67" w14:textId="0376D44A" w:rsidR="00E95DD7" w:rsidRDefault="00E95DD7" w:rsidP="00E95DD7">
      <w:pPr>
        <w:jc w:val="both"/>
      </w:pPr>
      <w:r>
        <w:t>El sector minería e hidrocarburos, en el periodo enero – julio de 2025, registró un crecimiento de 1,59%,</w:t>
      </w:r>
      <w:r>
        <w:t xml:space="preserve"> </w:t>
      </w:r>
      <w:r>
        <w:t>como resultado del desempeño positivo de la actividad minera metálica en 2,28%, sustentado en los</w:t>
      </w:r>
      <w:r>
        <w:t xml:space="preserve"> </w:t>
      </w:r>
      <w:r>
        <w:t>mayores volúmenes de producción de cobre en 3,42%, zinc 14,13% y plata en 8,36%, los tres metales</w:t>
      </w:r>
      <w:r>
        <w:t xml:space="preserve"> </w:t>
      </w:r>
      <w:r>
        <w:t>con una contribución de 3,36 puntos porcentuales al resultado global del sector, coadyuvado por las alzas</w:t>
      </w:r>
      <w:r>
        <w:t xml:space="preserve"> </w:t>
      </w:r>
      <w:r>
        <w:t>en la producción acumulada de plomo en 6,77% y de estaño 1,75% con un aporte total de 0,13 puntos</w:t>
      </w:r>
      <w:r>
        <w:t xml:space="preserve"> </w:t>
      </w:r>
      <w:r>
        <w:t>porcentuales. Sin embargo, hubo menor producción de hierro (-22,45%), molibdeno (-6,42%) y de oro</w:t>
      </w:r>
      <w:r>
        <w:t xml:space="preserve"> </w:t>
      </w:r>
      <w:r>
        <w:t>(-2,76%), los tres productos con una incidencia negativa de 1,52 puntos porcentuales.</w:t>
      </w:r>
    </w:p>
    <w:p w14:paraId="2060A9B9" w14:textId="0F118500" w:rsidR="003B2FFC" w:rsidRDefault="00E95DD7" w:rsidP="00E95DD7">
      <w:pPr>
        <w:jc w:val="both"/>
      </w:pPr>
      <w:r>
        <w:t>El subsector de hidrocarburos presentó contracción de 2,70% en el periodo de referencia, ante el menor</w:t>
      </w:r>
      <w:r>
        <w:t xml:space="preserve"> </w:t>
      </w:r>
      <w:r>
        <w:t>volumen de explotación de líquidos de gas natural (-10,33%) y de gas natural (-5,39%), los dos recursos</w:t>
      </w:r>
      <w:r>
        <w:t xml:space="preserve"> </w:t>
      </w:r>
      <w:r>
        <w:t>con una incidencia de -0,85 puntos porcentuales en el resultado sectorial. Sin embargo, la producción</w:t>
      </w:r>
      <w:r>
        <w:t xml:space="preserve"> </w:t>
      </w:r>
      <w:r>
        <w:t>acumulada de petróleo crudo se expandió en 13,40% con una contribución de 0,48 puntos porcentuales.</w:t>
      </w:r>
    </w:p>
    <w:p w14:paraId="5BD0D06C" w14:textId="77777777" w:rsidR="0034678C" w:rsidRDefault="0034678C"/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FC"/>
    <w:rsid w:val="00344F53"/>
    <w:rsid w:val="0034678C"/>
    <w:rsid w:val="003B2FFC"/>
    <w:rsid w:val="00BD32AE"/>
    <w:rsid w:val="00E9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455794"/>
  <w15:chartTrackingRefBased/>
  <w15:docId w15:val="{F3ACEC6B-E70B-46F1-8C66-CFE16052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FFC"/>
  </w:style>
  <w:style w:type="paragraph" w:styleId="Ttulo1">
    <w:name w:val="heading 1"/>
    <w:basedOn w:val="Normal"/>
    <w:next w:val="Normal"/>
    <w:link w:val="Ttulo1Car"/>
    <w:uiPriority w:val="9"/>
    <w:qFormat/>
    <w:rsid w:val="003B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F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F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F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F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F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F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F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F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F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F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637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2</cp:revision>
  <dcterms:created xsi:type="dcterms:W3CDTF">2026-04-26T16:50:00Z</dcterms:created>
  <dcterms:modified xsi:type="dcterms:W3CDTF">2026-04-26T16:58:00Z</dcterms:modified>
</cp:coreProperties>
</file>