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D17C" w14:textId="77777777" w:rsidR="00FB75A4" w:rsidRDefault="00FB75A4" w:rsidP="00FB75A4">
      <w:r>
        <w:t>EVOLUCIÓN SECTORIAL</w:t>
      </w:r>
    </w:p>
    <w:p w14:paraId="2ACA65EE" w14:textId="77777777" w:rsidR="00FB75A4" w:rsidRDefault="00FB75A4" w:rsidP="00FB75A4">
      <w:r>
        <w:t>Índice de la Producción Minera y de Hidrocarburos</w:t>
      </w:r>
    </w:p>
    <w:p w14:paraId="31B513CF" w14:textId="77777777" w:rsidR="00FB75A4" w:rsidRDefault="00FB75A4" w:rsidP="00FB75A4">
      <w:r>
        <w:t>Año base 2007</w:t>
      </w:r>
    </w:p>
    <w:p w14:paraId="0B48FDCC" w14:textId="77777777" w:rsidR="00014DC7" w:rsidRDefault="00014DC7" w:rsidP="00FB75A4">
      <w:pPr>
        <w:pStyle w:val="Prrafodelista"/>
        <w:numPr>
          <w:ilvl w:val="0"/>
          <w:numId w:val="1"/>
        </w:numPr>
        <w:jc w:val="both"/>
      </w:pPr>
      <w:r w:rsidRPr="00014DC7">
        <w:t>El Índice de la Producción Minera y de Hidrocarburos registró crecimiento de 6,81% en octubre 2025, por la evolución positiva del subsector minero metálico en 7,18%, explicado por la mayor producción de zinc y cobre, principalmente; y del subsector hidrocarburos en 4,21%, ante el mayor volumen de extracción de petróleo crudo y de líquidos de gas natural.</w:t>
      </w:r>
    </w:p>
    <w:p w14:paraId="28926378" w14:textId="116974B5" w:rsidR="00FB75A4" w:rsidRDefault="00014DC7" w:rsidP="00FB75A4">
      <w:pPr>
        <w:pStyle w:val="Prrafodelista"/>
        <w:numPr>
          <w:ilvl w:val="0"/>
          <w:numId w:val="1"/>
        </w:numPr>
        <w:jc w:val="both"/>
      </w:pPr>
      <w:r w:rsidRPr="00014DC7">
        <w:t>La actividad minera metálica se expandió en octubre 2025 sustentado en el mayor tonelaje procesado en las plantas de concentración, debido a la extracción en zonas de mayor contenido metálico y altas tasas de recuperación metalúrgica</w:t>
      </w:r>
      <w:r w:rsidR="00FB75A4">
        <w:t>.</w:t>
      </w:r>
    </w:p>
    <w:p w14:paraId="12FEBFA0" w14:textId="77777777" w:rsidR="00FB75A4" w:rsidRDefault="00FB75A4" w:rsidP="00FB75A4">
      <w:pPr>
        <w:jc w:val="both"/>
      </w:pPr>
      <w:r w:rsidRPr="00963670">
        <w:t>Variación interanual del Índice de la Producción Minera y de Hidrocarburos</w:t>
      </w:r>
    </w:p>
    <w:p w14:paraId="48F6C46B" w14:textId="77777777" w:rsidR="00014DC7" w:rsidRDefault="00014DC7" w:rsidP="00FB75A4">
      <w:pPr>
        <w:jc w:val="both"/>
      </w:pPr>
      <w:r w:rsidRPr="00014DC7">
        <w:t>En octubre 2025, la variación de 6,81% fue explicada por el desempeño positivo de la actividad minera metálica en 7,18% con una contribución de 6,29 puntos porcentuales en el índice global del sector; y de la producción de hidrocarburos en 4,21% con un aporte de 0,52 puntos porcentuales al total.</w:t>
      </w:r>
    </w:p>
    <w:p w14:paraId="1144B254" w14:textId="3DDA1F7A" w:rsidR="00014DC7" w:rsidRDefault="00014DC7" w:rsidP="00FB75A4">
      <w:pPr>
        <w:jc w:val="both"/>
      </w:pPr>
      <w:r w:rsidRPr="00014DC7">
        <w:t>La minería metálica creció en 7,18%, con reportes al alza en el volumen de producción de zinc en 30,93%, cobre 4,52%, molibdeno 16,30%, plata 12,99%, hierro 5,35%, estaño 31,75% y plomo 4,93%; sin embargo, la producción de oro se contrajo en 6,98%.</w:t>
      </w:r>
    </w:p>
    <w:p w14:paraId="44615F18" w14:textId="19E8C11A" w:rsidR="00FB75A4" w:rsidRDefault="00014DC7" w:rsidP="00FB75A4">
      <w:pPr>
        <w:jc w:val="both"/>
      </w:pPr>
      <w:r w:rsidRPr="00014DC7">
        <w:t>El subsector hidrocarburos presentó un aumento de 4,21%, por la mayor extracción de petróleo crudo en 14,05% y de líquidos de gas natural en 3,21%; en cambio, hubo menor producción de gas natural en -2,14%</w:t>
      </w:r>
      <w:r w:rsidR="00FB75A4" w:rsidRPr="00963670">
        <w:t>.</w:t>
      </w:r>
      <w:r w:rsidR="00FB75A4">
        <w:br w:type="page"/>
      </w:r>
    </w:p>
    <w:p w14:paraId="668A0238" w14:textId="79E4290A" w:rsidR="00FB75A4" w:rsidRDefault="00FB75A4" w:rsidP="00FB75A4">
      <w:pPr>
        <w:jc w:val="both"/>
      </w:pPr>
      <w:r w:rsidRPr="00CE12EC">
        <w:lastRenderedPageBreak/>
        <w:t xml:space="preserve">Producción Sectorial: </w:t>
      </w:r>
      <w:proofErr w:type="gramStart"/>
      <w:r w:rsidR="00014DC7">
        <w:t>Octubre</w:t>
      </w:r>
      <w:proofErr w:type="gramEnd"/>
      <w:r w:rsidRPr="00CE12EC">
        <w:t xml:space="preserve"> 2025</w:t>
      </w:r>
      <w:r w:rsidRPr="00F544F5">
        <w:t xml:space="preserve"> </w:t>
      </w:r>
    </w:p>
    <w:p w14:paraId="57840AC4" w14:textId="77777777" w:rsidR="00FB75A4" w:rsidRDefault="00FB75A4" w:rsidP="00FB75A4">
      <w:pPr>
        <w:jc w:val="both"/>
      </w:pPr>
      <w:r w:rsidRPr="00FC1E19">
        <w:t>Sector Minería e Hidrocarburos</w:t>
      </w:r>
    </w:p>
    <w:p w14:paraId="7F9DD4AB" w14:textId="33A87778" w:rsidR="00FB75A4" w:rsidRDefault="00014DC7" w:rsidP="00014DC7">
      <w:pPr>
        <w:jc w:val="both"/>
      </w:pPr>
      <w:r>
        <w:t>El sector minería e hidrocarburos</w:t>
      </w:r>
      <w:r>
        <w:t xml:space="preserve"> </w:t>
      </w:r>
      <w:r>
        <w:t>en octubre de 2025 creció en</w:t>
      </w:r>
      <w:r>
        <w:t xml:space="preserve"> </w:t>
      </w:r>
      <w:r>
        <w:t>6,81%, en comparación con el</w:t>
      </w:r>
      <w:r>
        <w:t xml:space="preserve"> </w:t>
      </w:r>
      <w:r>
        <w:t>nivel de producción de similar</w:t>
      </w:r>
      <w:r>
        <w:t xml:space="preserve"> </w:t>
      </w:r>
      <w:r>
        <w:t>mes de 2024, resultado con el</w:t>
      </w:r>
      <w:r>
        <w:t xml:space="preserve"> </w:t>
      </w:r>
      <w:r>
        <w:t>que se extendió a cinco meses</w:t>
      </w:r>
      <w:r>
        <w:t xml:space="preserve"> </w:t>
      </w:r>
      <w:r>
        <w:t>la evolución ascendente, ante el</w:t>
      </w:r>
      <w:r>
        <w:t xml:space="preserve"> </w:t>
      </w:r>
      <w:r>
        <w:t>desempeño positivo de la actividad</w:t>
      </w:r>
      <w:r>
        <w:t xml:space="preserve"> </w:t>
      </w:r>
      <w:r>
        <w:t>minera metálica en 7,18%, sobre la</w:t>
      </w:r>
      <w:r>
        <w:t xml:space="preserve"> </w:t>
      </w:r>
      <w:r>
        <w:t>base de los volúmenes superiores</w:t>
      </w:r>
      <w:r>
        <w:t xml:space="preserve"> </w:t>
      </w:r>
      <w:r>
        <w:t>de producción de zinc, cobre,</w:t>
      </w:r>
      <w:r>
        <w:t xml:space="preserve"> </w:t>
      </w:r>
      <w:r>
        <w:t>molibdeno, plata, hierro, estaño</w:t>
      </w:r>
      <w:r>
        <w:t xml:space="preserve"> </w:t>
      </w:r>
      <w:r>
        <w:t>y plomo; así como el avance del</w:t>
      </w:r>
      <w:r>
        <w:t xml:space="preserve"> </w:t>
      </w:r>
      <w:r>
        <w:t>subsector de hidrocarburos en 4,21%, determinado por la mayor explotación de petróleo crudo y líquidos</w:t>
      </w:r>
      <w:r>
        <w:t xml:space="preserve"> </w:t>
      </w:r>
      <w:r>
        <w:t>de gas natural.</w:t>
      </w:r>
    </w:p>
    <w:p w14:paraId="64F4B1A9" w14:textId="33E3586B" w:rsidR="00FB75A4" w:rsidRDefault="00014DC7" w:rsidP="00FB75A4">
      <w:pPr>
        <w:jc w:val="both"/>
      </w:pPr>
      <w:r w:rsidRPr="00014DC7">
        <w:t>La minería metálica (7,18%) creció en forma sostenida durante cinco meses, en octubre 2025 impulsada por los elevados niveles de producción de zinc (30,93%), cobre (4,52%) y molibdeno (16,30%), con una contribución total de 6,01 puntos porcentuales al resultado global del sector, secundada en menor magnitud por las alzas en la producción de plata (12,99%), hierro (5,35%), estaño (31,75%) y plomo (4,93%), los cuatro metales con un aporte de 1,03 puntos porcentuales; situación atenuada por la contracción en el volumen de producción oro (-6,98%), con una incidencia negativa de 0,75 puntos porcentuales</w:t>
      </w:r>
      <w:r w:rsidR="00FB75A4" w:rsidRPr="00FC1E19">
        <w:t>.</w:t>
      </w:r>
    </w:p>
    <w:p w14:paraId="1A507EE2" w14:textId="26AA95E2" w:rsidR="00FB75A4" w:rsidRDefault="00014DC7" w:rsidP="00FB75A4">
      <w:pPr>
        <w:jc w:val="both"/>
      </w:pPr>
      <w:r w:rsidRPr="00014DC7">
        <w:t>El subsector de hidrocarburos en octubre de 2025 registró crecimiento de 4,21% y permaneció en alza por cuarto mes consecutivo, sustentado en la mayor explotación de petróleo crudo en 14,05% y de líquidos de gas natural en 3,21%, ambos recursos con una incidencia de 0,61 puntos porcentuales al resultado consolidado del sector, situación atenuada por la baja extracción de gas natural en -2,14%, con una incidencia negativa de 0,08 puntos porcentuales</w:t>
      </w:r>
      <w:r w:rsidR="00FB75A4" w:rsidRPr="00FC1E19">
        <w:t>.</w:t>
      </w:r>
    </w:p>
    <w:p w14:paraId="1D205974" w14:textId="77777777" w:rsidR="00FB75A4" w:rsidRDefault="00FB75A4" w:rsidP="00FB75A4">
      <w:pPr>
        <w:jc w:val="both"/>
      </w:pPr>
      <w:r>
        <w:br w:type="page"/>
      </w:r>
    </w:p>
    <w:p w14:paraId="5BB4873D" w14:textId="749B9CC0" w:rsidR="00014DC7" w:rsidRDefault="00014DC7" w:rsidP="00FB75A4">
      <w:pPr>
        <w:jc w:val="both"/>
      </w:pPr>
      <w:r w:rsidRPr="00014DC7">
        <w:lastRenderedPageBreak/>
        <w:t>Producción Sectorial: Enero-</w:t>
      </w:r>
      <w:proofErr w:type="gramStart"/>
      <w:r w:rsidRPr="00014DC7">
        <w:t>Octubre</w:t>
      </w:r>
      <w:proofErr w:type="gramEnd"/>
      <w:r w:rsidRPr="00014DC7">
        <w:t xml:space="preserve"> 2025</w:t>
      </w:r>
    </w:p>
    <w:p w14:paraId="152DEB59" w14:textId="77777777" w:rsidR="00FB75A4" w:rsidRDefault="00FB75A4" w:rsidP="00FB75A4">
      <w:pPr>
        <w:jc w:val="both"/>
      </w:pPr>
      <w:r w:rsidRPr="00AA60AE">
        <w:t>Sector Minería e Hidrocarburos</w:t>
      </w:r>
    </w:p>
    <w:p w14:paraId="1DAA66B6" w14:textId="5C9E5924" w:rsidR="00FB75A4" w:rsidRDefault="00014DC7" w:rsidP="00014DC7">
      <w:pPr>
        <w:jc w:val="both"/>
      </w:pPr>
      <w:r>
        <w:t>El sector minería e hidrocarburos, en el periodo enero – octubre de 2025, registró un crecimiento de</w:t>
      </w:r>
      <w:r>
        <w:t xml:space="preserve"> </w:t>
      </w:r>
      <w:r>
        <w:t>2,68%, ante el desempeño positivo de la actividad minera metálica en 3,17%, sustentado en los mayores</w:t>
      </w:r>
      <w:r>
        <w:t xml:space="preserve"> </w:t>
      </w:r>
      <w:r>
        <w:t>volúmenes de producción de zinc en 18,79%, cobre 2,91% y plata en 8,76%, con un aporte conjunto de</w:t>
      </w:r>
      <w:r>
        <w:t xml:space="preserve"> </w:t>
      </w:r>
      <w:r>
        <w:t>3,48 puntos porcentuales al resultado global del sector, coadyuvado por los incrementos en la producción</w:t>
      </w:r>
      <w:r>
        <w:t xml:space="preserve"> </w:t>
      </w:r>
      <w:r>
        <w:t>acumulada de oro en 3,35%, plomo 7,21% y estaño en 5,70% con una contribución total de 0,49 puntos</w:t>
      </w:r>
      <w:r>
        <w:t xml:space="preserve"> </w:t>
      </w:r>
      <w:r>
        <w:t>porcentuales; contrarrestó estas alzas la variación acumulada negativa en la producción de molibdeno en</w:t>
      </w:r>
      <w:r>
        <w:t xml:space="preserve"> </w:t>
      </w:r>
      <w:r>
        <w:t>-8,45% y hierro en -14,60%, ambos productos con una incidencia negativa de 1,21 puntos porcentuales</w:t>
      </w:r>
      <w:r w:rsidR="00FB75A4" w:rsidRPr="00AA60AE">
        <w:t xml:space="preserve">. </w:t>
      </w:r>
    </w:p>
    <w:p w14:paraId="2D33227E" w14:textId="32F073A4" w:rsidR="00FB75A4" w:rsidRDefault="00014DC7" w:rsidP="00014DC7">
      <w:pPr>
        <w:jc w:val="both"/>
      </w:pPr>
      <w:r>
        <w:t>Por otro lado, el subsector de hidrocarburos presentó disminución de 0,61% en el periodo de referencia,</w:t>
      </w:r>
      <w:r>
        <w:t xml:space="preserve"> </w:t>
      </w:r>
      <w:r>
        <w:t>debido al menor volumen de explotación de líquidos de gas natural (-6,94%) y de gas natural (-3,81%),</w:t>
      </w:r>
      <w:r>
        <w:t xml:space="preserve"> </w:t>
      </w:r>
      <w:r>
        <w:t>los dos recursos con una incidencia negativa de 0,55 puntos porcentuales en la evolución total del sector;</w:t>
      </w:r>
      <w:r>
        <w:t xml:space="preserve"> </w:t>
      </w:r>
      <w:r>
        <w:t>mientras que, ascendió la producción de petróleo crudo (14,18%) con una contribución de 0,47 puntos</w:t>
      </w:r>
      <w:r>
        <w:t xml:space="preserve"> </w:t>
      </w:r>
      <w:r>
        <w:t>porcentuales</w:t>
      </w:r>
      <w:r w:rsidR="00FB75A4" w:rsidRPr="00AA60AE">
        <w:t>.</w:t>
      </w:r>
    </w:p>
    <w:p w14:paraId="1DBF1577" w14:textId="77777777" w:rsidR="00FB75A4" w:rsidRDefault="00FB75A4" w:rsidP="00FB75A4"/>
    <w:p w14:paraId="309BE035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A4"/>
    <w:rsid w:val="00014DC7"/>
    <w:rsid w:val="00344F53"/>
    <w:rsid w:val="0034678C"/>
    <w:rsid w:val="00BD32AE"/>
    <w:rsid w:val="00FB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EF909"/>
  <w15:chartTrackingRefBased/>
  <w15:docId w15:val="{607EE81F-EDB1-4F69-9CD1-F2A2ADD8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5A4"/>
  </w:style>
  <w:style w:type="paragraph" w:styleId="Ttulo1">
    <w:name w:val="heading 1"/>
    <w:basedOn w:val="Normal"/>
    <w:next w:val="Normal"/>
    <w:link w:val="Ttulo1Car"/>
    <w:uiPriority w:val="9"/>
    <w:qFormat/>
    <w:rsid w:val="00FB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5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5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5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5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5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674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2026-04-26T16:07:00Z</dcterms:created>
  <dcterms:modified xsi:type="dcterms:W3CDTF">2026-04-26T16:11:00Z</dcterms:modified>
</cp:coreProperties>
</file>