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3B371" w14:textId="77777777" w:rsidR="00946BD7" w:rsidRDefault="00946BD7" w:rsidP="00946BD7">
      <w:r>
        <w:t>EVOLUCIÓN SECTORIAL</w:t>
      </w:r>
    </w:p>
    <w:p w14:paraId="6BF7DD00" w14:textId="77777777" w:rsidR="00946BD7" w:rsidRDefault="00946BD7" w:rsidP="00946BD7">
      <w:r>
        <w:t>Índice de la Producción Minera y de Hidrocarburos</w:t>
      </w:r>
    </w:p>
    <w:p w14:paraId="1EE638DF" w14:textId="77777777" w:rsidR="00946BD7" w:rsidRDefault="00946BD7" w:rsidP="00946BD7">
      <w:r>
        <w:t>Año base 2007</w:t>
      </w:r>
    </w:p>
    <w:p w14:paraId="7A53AEEF" w14:textId="77777777" w:rsidR="00BD6CC6" w:rsidRDefault="00BD6CC6" w:rsidP="00946BD7">
      <w:pPr>
        <w:pStyle w:val="Prrafodelista"/>
        <w:numPr>
          <w:ilvl w:val="0"/>
          <w:numId w:val="1"/>
        </w:numPr>
        <w:jc w:val="both"/>
      </w:pPr>
      <w:r w:rsidRPr="00BD6CC6">
        <w:t>El Índice de la Producción Minera y de Hidrocarburos registró disminución de 2,18% en diciembre 2025, debido a la baja registrada del subsector minero metálico en -1,87%, por menor nivel de producción de molibdeno, cobre, oro y plata; y del subsector de hidrocarburos en -4,39%, por menor producción de petróleo crudo y de líquidos de gas natural.</w:t>
      </w:r>
    </w:p>
    <w:p w14:paraId="56881E68" w14:textId="16349563" w:rsidR="00946BD7" w:rsidRDefault="00BD6CC6" w:rsidP="00946BD7">
      <w:pPr>
        <w:pStyle w:val="Prrafodelista"/>
        <w:numPr>
          <w:ilvl w:val="0"/>
          <w:numId w:val="1"/>
        </w:numPr>
        <w:jc w:val="both"/>
      </w:pPr>
      <w:r w:rsidRPr="00BD6CC6">
        <w:t>La actividad minera metálica en diciembre de 2025 disminuyó por el menor tonelaje tratado en las plantas de concentración, asociado al minado en zonas de menor ley mineral, así como a factores técnicos que incidieron en la operación minera</w:t>
      </w:r>
      <w:r w:rsidR="00946BD7">
        <w:t>.</w:t>
      </w:r>
    </w:p>
    <w:p w14:paraId="3F03674E" w14:textId="77777777" w:rsidR="00946BD7" w:rsidRDefault="00946BD7" w:rsidP="00946BD7">
      <w:pPr>
        <w:jc w:val="both"/>
      </w:pPr>
      <w:r w:rsidRPr="00963670">
        <w:t>Variación interanual del Índice de la Producción Minera y de Hidrocarburos</w:t>
      </w:r>
    </w:p>
    <w:p w14:paraId="6C7F3DCA" w14:textId="77777777" w:rsidR="00BD6CC6" w:rsidRDefault="00BD6CC6" w:rsidP="00946BD7">
      <w:pPr>
        <w:jc w:val="both"/>
      </w:pPr>
      <w:r w:rsidRPr="00BD6CC6">
        <w:t>En diciembre 2025, la variación de -2,18% fue resultado de la contracción de la actividad minera metálica en -1,87% con una incidencia de -1,65 puntos porcentuales en el índice global del sector; y de la producción de hidrocarburos en -4,39% con una incidencia de -0,53 puntos porcentuales en el total.</w:t>
      </w:r>
    </w:p>
    <w:p w14:paraId="45805A08" w14:textId="77777777" w:rsidR="00BD6CC6" w:rsidRDefault="00BD6CC6" w:rsidP="00946BD7">
      <w:pPr>
        <w:jc w:val="both"/>
      </w:pPr>
      <w:r w:rsidRPr="00BD6CC6">
        <w:t>La minería metálica disminuyó 1,87%, como consecuencia del menor nivel de producción de molibdeno en -19,11%, cobre -2,72%, oro -3,22% y plata en -2,69%; sin embargo, la producción de zinc se incrementó en 17,19%, hierro 14,04%, estaño 22,10% y plomo 1,45%.</w:t>
      </w:r>
    </w:p>
    <w:p w14:paraId="249E58D5" w14:textId="074036BB" w:rsidR="00946BD7" w:rsidRDefault="00BD6CC6" w:rsidP="00946BD7">
      <w:pPr>
        <w:jc w:val="both"/>
      </w:pPr>
      <w:r w:rsidRPr="00BD6CC6">
        <w:t>El subsector de hidrocarburos decreció 4,39%, por menor explotación de petróleo crudo en -16,00% y de líquidos de gas natural en -6,29%; mientras que, la producción de gas natural aumentó en 9,64%</w:t>
      </w:r>
      <w:r w:rsidR="00946BD7" w:rsidRPr="00963670">
        <w:t>.</w:t>
      </w:r>
      <w:r w:rsidR="00946BD7">
        <w:br w:type="page"/>
      </w:r>
    </w:p>
    <w:p w14:paraId="69C2B439" w14:textId="01E92C80" w:rsidR="00946BD7" w:rsidRDefault="00BD6CC6" w:rsidP="00946BD7">
      <w:pPr>
        <w:jc w:val="both"/>
      </w:pPr>
      <w:r w:rsidRPr="00BD6CC6">
        <w:lastRenderedPageBreak/>
        <w:t>Producción Sectorial: Año 2025</w:t>
      </w:r>
    </w:p>
    <w:p w14:paraId="6D88EE88" w14:textId="77777777" w:rsidR="00946BD7" w:rsidRDefault="00946BD7" w:rsidP="00946BD7">
      <w:pPr>
        <w:jc w:val="both"/>
      </w:pPr>
      <w:r w:rsidRPr="00FC1E19">
        <w:t>Sector Minería e Hidrocarburos</w:t>
      </w:r>
    </w:p>
    <w:p w14:paraId="46A5ADBA" w14:textId="52FAAB23" w:rsidR="00BD6CC6" w:rsidRDefault="00BD6CC6" w:rsidP="00946BD7">
      <w:pPr>
        <w:jc w:val="both"/>
      </w:pPr>
      <w:r w:rsidRPr="00BD6CC6">
        <w:t>En el año 2025, el sector minería e hidrocarburos presentó una evolución positiva de 1,38%, manteniendo una trayectoria ascendente por cinco años consecutivos, determinada por el buen desempeño de la actividad minera metálica que creció en 1,83%, ante el mayor nivel de producción de la mayoría de metales componentes, principalmente de zinc y cobre; sin embargo, el subsector de hidrocarburos se contrajo en 1,62% ante la baja registrada en la explotación de líquidos de gas natural y de gas natural.</w:t>
      </w:r>
    </w:p>
    <w:p w14:paraId="36E234DF" w14:textId="11F61008" w:rsidR="00BD6CC6" w:rsidRDefault="00BD6CC6" w:rsidP="00946BD7">
      <w:pPr>
        <w:jc w:val="both"/>
      </w:pPr>
      <w:r w:rsidRPr="00BD6CC6">
        <w:t>El comportamiento ascendente de la actividad minera metálica (1,83%) se sustentó en el significativo incremento de la producción de zinc en 18,55%, con una contribución de 1,59 puntos porcentuales al resultado global del sector. Contribuyó también el mayor nivel de producción de cobre en 1,04%, plata 7,11%, oro 1,45%, plomo 7,18% y de estaño en 4,64%, en conjunto con un aporte de 1,15 puntos porcentuales. Este desempeño fue parcialmente contrarrestado por la menor producción de molibdeno (-9,38%) y de hierro (-10,66%), ambos con una incidencia negativa de 1,15 puntos porcentuales.</w:t>
      </w:r>
    </w:p>
    <w:p w14:paraId="3A103D02" w14:textId="64448514" w:rsidR="00946BD7" w:rsidRDefault="00BD6CC6" w:rsidP="00946BD7">
      <w:pPr>
        <w:jc w:val="both"/>
      </w:pPr>
      <w:r w:rsidRPr="00BD6CC6">
        <w:t>La producción del subsector de hidrocarburos registró disminución de 1,62% en 2025, tras la trayectoria ascendente sostenida desde 2022, explicada principalmente por la menor actividad de explotación de líquidos de gas natural (-6,43%) y de gas natural (-3,17%), ambos recursos con una incidencia negativa conjunta de 0,49 puntos porcentuales en el resultado global del sector; este comportamiento fue parcialmente atenuado por el incremento de 8,37% en la producción de petróleo crudo, con una incidencia positiva de 0,28 puntos porcentuales.</w:t>
      </w:r>
    </w:p>
    <w:p w14:paraId="1C014EF8" w14:textId="77777777" w:rsidR="00946BD7" w:rsidRDefault="00946BD7" w:rsidP="00946BD7">
      <w:pPr>
        <w:jc w:val="both"/>
      </w:pPr>
      <w:r>
        <w:br w:type="page"/>
      </w:r>
    </w:p>
    <w:p w14:paraId="5232FEC4" w14:textId="77777777" w:rsidR="00BD6CC6" w:rsidRDefault="00BD6CC6" w:rsidP="00946BD7">
      <w:pPr>
        <w:jc w:val="both"/>
      </w:pPr>
      <w:r w:rsidRPr="00BD6CC6">
        <w:lastRenderedPageBreak/>
        <w:t>Producción Sectorial: Diciembre 2025</w:t>
      </w:r>
    </w:p>
    <w:p w14:paraId="0A95C39A" w14:textId="754AD0A3" w:rsidR="00946BD7" w:rsidRDefault="00946BD7" w:rsidP="00946BD7">
      <w:pPr>
        <w:jc w:val="both"/>
      </w:pPr>
      <w:r w:rsidRPr="00AA60AE">
        <w:t>Sector Minería e Hidrocarburos</w:t>
      </w:r>
    </w:p>
    <w:p w14:paraId="3A98EED4" w14:textId="77777777" w:rsidR="00BD6CC6" w:rsidRDefault="00BD6CC6" w:rsidP="00946BD7">
      <w:pPr>
        <w:jc w:val="both"/>
      </w:pPr>
      <w:r w:rsidRPr="00BD6CC6">
        <w:t>En diciembre de 2025, el sector minería e hidrocarburos registró una contracción de 2,18% en comparación con similar mes de 2024, acumulando dos meses consecutivos con tendencia negativa, luego del crecimiento observado en los meses previos. Este resultado se explicó principalmente por la disminución de la actividad minera metálica en -1,87%, asociada al menor volumen de producción de molibdeno, cobre, oro y plata; así también, por la contracción del subsector de hidrocarburos en -4,39% determinada por el menor nivel de explotación de petróleo crudo y de líquidos de gas natural.</w:t>
      </w:r>
    </w:p>
    <w:p w14:paraId="2205BFFF" w14:textId="180F1E26" w:rsidR="00946BD7" w:rsidRDefault="00BD6CC6" w:rsidP="00946BD7">
      <w:pPr>
        <w:jc w:val="both"/>
      </w:pPr>
      <w:r w:rsidRPr="00BD6CC6">
        <w:t>La evolución descendente de la minería metálica (-1,87%) se explicó por la menor producción de molibdeno en -19,11% y cobre en -2,72%, que en conjunto restaron 3,07 puntos porcentuales al resultado global del sector; aunado a la disminución de la producción de oro en -3,22% y plata en -2,69%, cuya incidencia conjunta fue de -0,46 puntos porcentuales. Este comportamiento fue parcialmente atenuado por los mayores niveles de producción de zinc en 17,19%, hierro 14,04%, estaño 22,10% y plomo en 1,45%, los cuales registraron una incidencia positiva de 1,88 puntos porcentuales.</w:t>
      </w:r>
    </w:p>
    <w:p w14:paraId="1C91E645" w14:textId="663A228C" w:rsidR="00BD6CC6" w:rsidRDefault="00BD6CC6" w:rsidP="00946BD7">
      <w:pPr>
        <w:jc w:val="both"/>
      </w:pPr>
      <w:r w:rsidRPr="00BD6CC6">
        <w:t>El subsector de hidrocarburos registró en diciembre de 2025 una contracción de 4,39%, ante el menor volumen de explotación de petróleo crudo en -16,00% y de líquidos de gas natural en -6,29%, con una incidencia de -0,86 puntos porcentuales al resultado consolidado del sector. Este comportamiento fue parcialmente atenuado por el incremento en la producción de gas natural en 9,64%, que contribuyó con 0,33 puntos porcentuales.</w:t>
      </w:r>
    </w:p>
    <w:p w14:paraId="5E97E86A" w14:textId="77777777" w:rsidR="0034678C" w:rsidRDefault="0034678C"/>
    <w:sectPr w:rsidR="003467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581F5E"/>
    <w:multiLevelType w:val="hybridMultilevel"/>
    <w:tmpl w:val="141A8A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05022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BD7"/>
    <w:rsid w:val="00344F53"/>
    <w:rsid w:val="0034678C"/>
    <w:rsid w:val="00946BD7"/>
    <w:rsid w:val="00BD32AE"/>
    <w:rsid w:val="00BD6C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C9B5D"/>
  <w15:chartTrackingRefBased/>
  <w15:docId w15:val="{C4C00537-BA12-483A-81B0-BE6B01FDE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BD7"/>
  </w:style>
  <w:style w:type="paragraph" w:styleId="Ttulo1">
    <w:name w:val="heading 1"/>
    <w:basedOn w:val="Normal"/>
    <w:next w:val="Normal"/>
    <w:link w:val="Ttulo1Car"/>
    <w:uiPriority w:val="9"/>
    <w:qFormat/>
    <w:rsid w:val="00946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6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6B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6B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6B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6B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6B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6B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6B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6B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6B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6B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6B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6B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6B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6B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6B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6BD7"/>
    <w:rPr>
      <w:rFonts w:eastAsiaTheme="majorEastAsia" w:cstheme="majorBidi"/>
      <w:color w:val="272727" w:themeColor="text1" w:themeTint="D8"/>
    </w:rPr>
  </w:style>
  <w:style w:type="paragraph" w:styleId="Ttulo">
    <w:name w:val="Title"/>
    <w:basedOn w:val="Normal"/>
    <w:next w:val="Normal"/>
    <w:link w:val="TtuloCar"/>
    <w:uiPriority w:val="10"/>
    <w:qFormat/>
    <w:rsid w:val="00946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6B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6B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6B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6BD7"/>
    <w:pPr>
      <w:spacing w:before="160"/>
      <w:jc w:val="center"/>
    </w:pPr>
    <w:rPr>
      <w:i/>
      <w:iCs/>
      <w:color w:val="404040" w:themeColor="text1" w:themeTint="BF"/>
    </w:rPr>
  </w:style>
  <w:style w:type="character" w:customStyle="1" w:styleId="CitaCar">
    <w:name w:val="Cita Car"/>
    <w:basedOn w:val="Fuentedeprrafopredeter"/>
    <w:link w:val="Cita"/>
    <w:uiPriority w:val="29"/>
    <w:rsid w:val="00946BD7"/>
    <w:rPr>
      <w:i/>
      <w:iCs/>
      <w:color w:val="404040" w:themeColor="text1" w:themeTint="BF"/>
    </w:rPr>
  </w:style>
  <w:style w:type="paragraph" w:styleId="Prrafodelista">
    <w:name w:val="List Paragraph"/>
    <w:basedOn w:val="Normal"/>
    <w:uiPriority w:val="34"/>
    <w:qFormat/>
    <w:rsid w:val="00946BD7"/>
    <w:pPr>
      <w:ind w:left="720"/>
      <w:contextualSpacing/>
    </w:pPr>
  </w:style>
  <w:style w:type="character" w:styleId="nfasisintenso">
    <w:name w:val="Intense Emphasis"/>
    <w:basedOn w:val="Fuentedeprrafopredeter"/>
    <w:uiPriority w:val="21"/>
    <w:qFormat/>
    <w:rsid w:val="00946BD7"/>
    <w:rPr>
      <w:i/>
      <w:iCs/>
      <w:color w:val="0F4761" w:themeColor="accent1" w:themeShade="BF"/>
    </w:rPr>
  </w:style>
  <w:style w:type="paragraph" w:styleId="Citadestacada">
    <w:name w:val="Intense Quote"/>
    <w:basedOn w:val="Normal"/>
    <w:next w:val="Normal"/>
    <w:link w:val="CitadestacadaCar"/>
    <w:uiPriority w:val="30"/>
    <w:qFormat/>
    <w:rsid w:val="00946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6BD7"/>
    <w:rPr>
      <w:i/>
      <w:iCs/>
      <w:color w:val="0F4761" w:themeColor="accent1" w:themeShade="BF"/>
    </w:rPr>
  </w:style>
  <w:style w:type="character" w:styleId="Referenciaintensa">
    <w:name w:val="Intense Reference"/>
    <w:basedOn w:val="Fuentedeprrafopredeter"/>
    <w:uiPriority w:val="32"/>
    <w:qFormat/>
    <w:rsid w:val="00946B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748</Words>
  <Characters>4120</Characters>
  <Application>Microsoft Office Word</Application>
  <DocSecurity>0</DocSecurity>
  <Lines>34</Lines>
  <Paragraphs>9</Paragraphs>
  <ScaleCrop>false</ScaleCrop>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dc:creator>
  <cp:keywords/>
  <dc:description/>
  <cp:lastModifiedBy>JC</cp:lastModifiedBy>
  <cp:revision>2</cp:revision>
  <dcterms:created xsi:type="dcterms:W3CDTF">2026-04-26T15:47:00Z</dcterms:created>
  <dcterms:modified xsi:type="dcterms:W3CDTF">2026-04-26T15:52:00Z</dcterms:modified>
</cp:coreProperties>
</file>