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706F9" w14:textId="77777777" w:rsidR="00AE13D7" w:rsidRDefault="00AE13D7" w:rsidP="00AE13D7">
      <w:r>
        <w:t>EVOLUCIÓN SECTORIAL</w:t>
      </w:r>
    </w:p>
    <w:p w14:paraId="70735AD7" w14:textId="77777777" w:rsidR="00AE13D7" w:rsidRDefault="00AE13D7" w:rsidP="00AE13D7">
      <w:r>
        <w:t>Índice de la Producción Minera y de Hidrocarburos</w:t>
      </w:r>
    </w:p>
    <w:p w14:paraId="1470E8E3" w14:textId="77777777" w:rsidR="00AE13D7" w:rsidRDefault="00AE13D7" w:rsidP="00AE13D7">
      <w:r>
        <w:t>Año base 2007</w:t>
      </w:r>
    </w:p>
    <w:p w14:paraId="10285A24" w14:textId="57777BFC" w:rsidR="00C900C9" w:rsidRDefault="00C900C9" w:rsidP="00C900C9">
      <w:pPr>
        <w:pStyle w:val="Prrafodelista"/>
        <w:numPr>
          <w:ilvl w:val="0"/>
          <w:numId w:val="1"/>
        </w:numPr>
        <w:jc w:val="both"/>
      </w:pPr>
      <w:r>
        <w:t>El Índice de la Producción Minera y de</w:t>
      </w:r>
      <w:r>
        <w:t xml:space="preserve"> </w:t>
      </w:r>
      <w:r>
        <w:t>Hidrocarburos registró aumento de 1,39%</w:t>
      </w:r>
      <w:r>
        <w:t xml:space="preserve"> </w:t>
      </w:r>
      <w:r>
        <w:t>en enero 2025, por la evolución positiva de</w:t>
      </w:r>
      <w:r>
        <w:t xml:space="preserve"> </w:t>
      </w:r>
      <w:r>
        <w:t>la actividad minera metálica en 3,20%, ante</w:t>
      </w:r>
      <w:r>
        <w:t xml:space="preserve"> </w:t>
      </w:r>
      <w:r>
        <w:t>mayores niveles de producción de cobre,</w:t>
      </w:r>
      <w:r>
        <w:t xml:space="preserve"> </w:t>
      </w:r>
      <w:r>
        <w:t>molibdeno y plata, principalmente; en cambio, el</w:t>
      </w:r>
      <w:r>
        <w:t xml:space="preserve"> </w:t>
      </w:r>
      <w:r>
        <w:t>subsector de hidrocarburos disminuyó en 9,12%</w:t>
      </w:r>
      <w:r>
        <w:t xml:space="preserve"> </w:t>
      </w:r>
      <w:r>
        <w:t>por menor explotación de líquidos de gas natural</w:t>
      </w:r>
      <w:r>
        <w:t xml:space="preserve"> </w:t>
      </w:r>
      <w:r>
        <w:t>y gas natural.</w:t>
      </w:r>
    </w:p>
    <w:p w14:paraId="6C2FFBFA" w14:textId="2450C98C" w:rsidR="00AE13D7" w:rsidRDefault="00C900C9" w:rsidP="00C900C9">
      <w:pPr>
        <w:pStyle w:val="Prrafodelista"/>
        <w:numPr>
          <w:ilvl w:val="0"/>
          <w:numId w:val="1"/>
        </w:numPr>
        <w:jc w:val="both"/>
      </w:pPr>
      <w:r>
        <w:t>El comportamiento de la minería metálica en</w:t>
      </w:r>
      <w:r>
        <w:t xml:space="preserve"> </w:t>
      </w:r>
      <w:r>
        <w:t>enero 2025 se sustentó en el mayor tonelaje</w:t>
      </w:r>
      <w:r>
        <w:t xml:space="preserve"> </w:t>
      </w:r>
      <w:r>
        <w:t>extraído con mejores leyes en los minerales</w:t>
      </w:r>
      <w:r>
        <w:t xml:space="preserve"> </w:t>
      </w:r>
      <w:r>
        <w:t>procesados en las plantas de concentración</w:t>
      </w:r>
      <w:r w:rsidR="00AE13D7">
        <w:t>.</w:t>
      </w:r>
    </w:p>
    <w:p w14:paraId="07E2934B" w14:textId="77777777" w:rsidR="00AE13D7" w:rsidRDefault="00AE13D7" w:rsidP="00AE13D7">
      <w:pPr>
        <w:jc w:val="both"/>
      </w:pPr>
      <w:r w:rsidRPr="00963670">
        <w:t>Variación interanual del Índice de la Producción Minera y de Hidrocarburos</w:t>
      </w:r>
    </w:p>
    <w:p w14:paraId="295993E4" w14:textId="40B5B424" w:rsidR="00C900C9" w:rsidRDefault="00C900C9" w:rsidP="00C900C9">
      <w:pPr>
        <w:jc w:val="both"/>
      </w:pPr>
      <w:r>
        <w:t>La variación registrada en enero 2025 de 1,39% fue</w:t>
      </w:r>
      <w:r>
        <w:t xml:space="preserve"> </w:t>
      </w:r>
      <w:r>
        <w:t>resultado del aumento de la producción minera</w:t>
      </w:r>
      <w:r>
        <w:t xml:space="preserve"> </w:t>
      </w:r>
      <w:r>
        <w:t>metálica en 3,20% con una contribución de 2,73</w:t>
      </w:r>
      <w:r>
        <w:t xml:space="preserve"> </w:t>
      </w:r>
      <w:r>
        <w:t>puntos porcentuales al resultado sectorial; sin</w:t>
      </w:r>
      <w:r>
        <w:t xml:space="preserve"> </w:t>
      </w:r>
      <w:r>
        <w:t>embargo, la producción de hidrocarburos reportó</w:t>
      </w:r>
      <w:r>
        <w:t xml:space="preserve"> </w:t>
      </w:r>
      <w:r>
        <w:t>una variación de -9,12% con una incidencia negativa</w:t>
      </w:r>
      <w:r>
        <w:t xml:space="preserve"> </w:t>
      </w:r>
      <w:r>
        <w:t>de 1,34 puntos porcentuales.</w:t>
      </w:r>
    </w:p>
    <w:p w14:paraId="5F2357C4" w14:textId="177F5582" w:rsidR="00C900C9" w:rsidRDefault="00C900C9" w:rsidP="00C900C9">
      <w:pPr>
        <w:jc w:val="both"/>
      </w:pPr>
      <w:r>
        <w:t xml:space="preserve"> La minería metálica creció en 3,20% por el mayor</w:t>
      </w:r>
      <w:r>
        <w:t xml:space="preserve"> </w:t>
      </w:r>
      <w:r>
        <w:t>nivel de producción de cobre en 7,27%, molibdeno</w:t>
      </w:r>
      <w:r>
        <w:t xml:space="preserve"> </w:t>
      </w:r>
      <w:r>
        <w:t>23,99%, plata 4,50%, hierro 3,10% y de estaño</w:t>
      </w:r>
      <w:r>
        <w:t xml:space="preserve"> </w:t>
      </w:r>
      <w:r>
        <w:t>en 0,28%; no obstante, hubo disminución en la</w:t>
      </w:r>
      <w:r>
        <w:t xml:space="preserve"> </w:t>
      </w:r>
      <w:r>
        <w:t>producción de oro en -15,91%, zinc -12,24% y plomo</w:t>
      </w:r>
      <w:r>
        <w:t xml:space="preserve"> </w:t>
      </w:r>
      <w:r>
        <w:t>en -4,91%.</w:t>
      </w:r>
    </w:p>
    <w:p w14:paraId="640140EA" w14:textId="4F69691C" w:rsidR="00AE13D7" w:rsidRDefault="00C900C9" w:rsidP="00C900C9">
      <w:pPr>
        <w:jc w:val="both"/>
      </w:pPr>
      <w:r>
        <w:t xml:space="preserve"> La producción de hidrocarburos se contrajo en</w:t>
      </w:r>
      <w:r>
        <w:t xml:space="preserve"> </w:t>
      </w:r>
      <w:r>
        <w:t>9,12%, por la menor explotación de líquidos de gas</w:t>
      </w:r>
      <w:r>
        <w:t xml:space="preserve"> </w:t>
      </w:r>
      <w:r>
        <w:t>natural en -18,31% y de gas natural en -11,59%;</w:t>
      </w:r>
      <w:r>
        <w:t xml:space="preserve"> </w:t>
      </w:r>
      <w:r>
        <w:t>en tanto que, aumentó la producción de petróleo</w:t>
      </w:r>
      <w:r>
        <w:t xml:space="preserve"> </w:t>
      </w:r>
      <w:r>
        <w:t>crudo en 8,79%.</w:t>
      </w:r>
      <w:r w:rsidR="00AE13D7">
        <w:br w:type="page"/>
      </w:r>
    </w:p>
    <w:p w14:paraId="3815203F" w14:textId="74B44150" w:rsidR="0015674D" w:rsidRDefault="0015674D" w:rsidP="00AE13D7">
      <w:pPr>
        <w:jc w:val="both"/>
      </w:pPr>
      <w:r w:rsidRPr="0015674D">
        <w:lastRenderedPageBreak/>
        <w:t xml:space="preserve">Producción Sectorial: </w:t>
      </w:r>
      <w:proofErr w:type="gramStart"/>
      <w:r w:rsidRPr="0015674D">
        <w:t>Enero</w:t>
      </w:r>
      <w:proofErr w:type="gramEnd"/>
      <w:r w:rsidRPr="0015674D">
        <w:t xml:space="preserve"> 2025</w:t>
      </w:r>
    </w:p>
    <w:p w14:paraId="4CF39151" w14:textId="77777777" w:rsidR="00AE13D7" w:rsidRDefault="00AE13D7" w:rsidP="00AE13D7">
      <w:pPr>
        <w:jc w:val="both"/>
      </w:pPr>
      <w:r w:rsidRPr="00FC1E19">
        <w:t>Sector Minería e Hidrocarburos</w:t>
      </w:r>
    </w:p>
    <w:p w14:paraId="371ABB20" w14:textId="45AC0573" w:rsidR="00AE13D7" w:rsidRDefault="00C900C9" w:rsidP="00C900C9">
      <w:pPr>
        <w:jc w:val="both"/>
      </w:pPr>
      <w:r>
        <w:t>El sector minería e hidrocarburos</w:t>
      </w:r>
      <w:r>
        <w:t xml:space="preserve"> </w:t>
      </w:r>
      <w:r>
        <w:t>en enero de 2025 creció en</w:t>
      </w:r>
      <w:r>
        <w:t xml:space="preserve"> </w:t>
      </w:r>
      <w:r>
        <w:t>1,39%, con referencia al nivel</w:t>
      </w:r>
      <w:r>
        <w:t xml:space="preserve"> </w:t>
      </w:r>
      <w:r>
        <w:t>de producción de similar mes</w:t>
      </w:r>
      <w:r>
        <w:t xml:space="preserve"> </w:t>
      </w:r>
      <w:r>
        <w:t>del 2024, manteniendo una</w:t>
      </w:r>
      <w:r>
        <w:t xml:space="preserve"> </w:t>
      </w:r>
      <w:r>
        <w:t>expansión continua por segundo</w:t>
      </w:r>
      <w:r>
        <w:t xml:space="preserve"> </w:t>
      </w:r>
      <w:r>
        <w:t>mes consecutivo, como resultado</w:t>
      </w:r>
      <w:r>
        <w:t xml:space="preserve"> </w:t>
      </w:r>
      <w:r>
        <w:t>del desempeño positivo de la</w:t>
      </w:r>
      <w:r>
        <w:t xml:space="preserve"> </w:t>
      </w:r>
      <w:r>
        <w:t>minería metálica en 3,20%, por el</w:t>
      </w:r>
      <w:r>
        <w:t xml:space="preserve"> </w:t>
      </w:r>
      <w:r>
        <w:t>incremento en los volúmenes de</w:t>
      </w:r>
      <w:r>
        <w:t xml:space="preserve"> </w:t>
      </w:r>
      <w:r>
        <w:t>producción de cobre y molibdeno,</w:t>
      </w:r>
      <w:r>
        <w:t xml:space="preserve"> </w:t>
      </w:r>
      <w:r>
        <w:t>principalmente; atenuada por</w:t>
      </w:r>
      <w:r>
        <w:t xml:space="preserve"> </w:t>
      </w:r>
      <w:r>
        <w:t>la contracción del subsector de</w:t>
      </w:r>
      <w:r>
        <w:t xml:space="preserve"> </w:t>
      </w:r>
      <w:r>
        <w:t>hidrocarburos en 9,12%, debido a la menor explotación de líquidos de gas natural y de gas natural.</w:t>
      </w:r>
    </w:p>
    <w:p w14:paraId="17898748" w14:textId="424164DD" w:rsidR="00AE13D7" w:rsidRDefault="00C900C9" w:rsidP="00C900C9">
      <w:pPr>
        <w:jc w:val="both"/>
      </w:pPr>
      <w:r>
        <w:t>La minería metálica (3,20%) en enero de 2025 aumentó por segundo mes sucesivo sustentada en los</w:t>
      </w:r>
      <w:r>
        <w:t xml:space="preserve"> </w:t>
      </w:r>
      <w:r>
        <w:t>mayores niveles de producción de cobre (7,27%) y molibdeno (23,99%), ambos minerales con un aporte</w:t>
      </w:r>
      <w:r>
        <w:t xml:space="preserve"> </w:t>
      </w:r>
      <w:r>
        <w:t>total de 5,24 puntos porcentuales al resultado global del sector, secundada en menor magnitud por las</w:t>
      </w:r>
      <w:r>
        <w:t xml:space="preserve"> </w:t>
      </w:r>
      <w:r>
        <w:t>alzas en la producción de plata (4,50%), hierro (3,10%) y de estaño (0,28%), los tres metales con una</w:t>
      </w:r>
      <w:r>
        <w:t xml:space="preserve"> </w:t>
      </w:r>
      <w:r>
        <w:t>contribución de 0,31 puntos porcentuales; situación atenuada por la disminución en los volúmenes de</w:t>
      </w:r>
      <w:r>
        <w:t xml:space="preserve"> </w:t>
      </w:r>
      <w:r>
        <w:t>producción de oro (-15,91%), zinc (-12,24%) y de plomo (-4,91%), los tres productos con una incidencia</w:t>
      </w:r>
      <w:r>
        <w:t xml:space="preserve"> </w:t>
      </w:r>
      <w:r>
        <w:t>negativa de 2,82 puntos porcentuales.</w:t>
      </w:r>
    </w:p>
    <w:p w14:paraId="06EAF3C6" w14:textId="65975FAE" w:rsidR="0034678C" w:rsidRDefault="00C900C9" w:rsidP="0015674D">
      <w:pPr>
        <w:jc w:val="both"/>
      </w:pPr>
      <w:r>
        <w:t>El subsector de hidrocarburos en enero de 2025 registró una contracción de 9,12%, tras dos meses de</w:t>
      </w:r>
      <w:r>
        <w:t xml:space="preserve"> </w:t>
      </w:r>
      <w:r>
        <w:t>desempeño positivo, debido a la menor explotación de líquidos de gas natural en -18,31% y de gas natural</w:t>
      </w:r>
      <w:r>
        <w:t xml:space="preserve"> </w:t>
      </w:r>
      <w:r>
        <w:t>-11,59%, ambos recursos con una incidencia negativa total de 1,69 puntos porcentuales al resultado</w:t>
      </w:r>
      <w:r>
        <w:t xml:space="preserve"> </w:t>
      </w:r>
      <w:r>
        <w:t>consolidado del sector; en contraste, la extracción de petróleo crudo creció en 8,79% con un aporte de</w:t>
      </w:r>
      <w:r>
        <w:t xml:space="preserve"> </w:t>
      </w:r>
      <w:r>
        <w:t>0,35 puntos porcentuales.</w:t>
      </w:r>
    </w:p>
    <w:sectPr w:rsidR="003467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581F5E"/>
    <w:multiLevelType w:val="hybridMultilevel"/>
    <w:tmpl w:val="141A8AB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0223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3D7"/>
    <w:rsid w:val="0015674D"/>
    <w:rsid w:val="00344F53"/>
    <w:rsid w:val="0034678C"/>
    <w:rsid w:val="00AE13D7"/>
    <w:rsid w:val="00BD32AE"/>
    <w:rsid w:val="00C90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584F30"/>
  <w15:chartTrackingRefBased/>
  <w15:docId w15:val="{149106B6-78F3-4008-B498-D55D8BF5D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3D7"/>
  </w:style>
  <w:style w:type="paragraph" w:styleId="Ttulo1">
    <w:name w:val="heading 1"/>
    <w:basedOn w:val="Normal"/>
    <w:next w:val="Normal"/>
    <w:link w:val="Ttulo1Car"/>
    <w:uiPriority w:val="9"/>
    <w:qFormat/>
    <w:rsid w:val="00AE1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1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13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1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13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13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13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13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13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13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13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13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13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13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13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13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13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13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1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1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13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1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1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13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13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13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1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13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13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FFFFFF"/>
      </a:dk1>
      <a:lt1>
        <a:sysClr val="window" lastClr="2D3236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480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JC</cp:lastModifiedBy>
  <cp:revision>3</cp:revision>
  <dcterms:created xsi:type="dcterms:W3CDTF">2026-04-26T17:20:00Z</dcterms:created>
  <dcterms:modified xsi:type="dcterms:W3CDTF">2026-04-26T17:24:00Z</dcterms:modified>
</cp:coreProperties>
</file>