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83451" w14:textId="77777777" w:rsidR="00F6306F" w:rsidRDefault="00F6306F" w:rsidP="00F6306F">
      <w:r>
        <w:t>EVOLUCIÓN SECTORIAL</w:t>
      </w:r>
    </w:p>
    <w:p w14:paraId="50FBEF77" w14:textId="77777777" w:rsidR="00F6306F" w:rsidRDefault="00F6306F" w:rsidP="00F6306F">
      <w:r>
        <w:t>Índice de la Producción Minera y de Hidrocarburos</w:t>
      </w:r>
    </w:p>
    <w:p w14:paraId="6C1E76E7" w14:textId="77777777" w:rsidR="00F6306F" w:rsidRDefault="00F6306F" w:rsidP="00F6306F">
      <w:r>
        <w:t>Año base 2007</w:t>
      </w:r>
    </w:p>
    <w:p w14:paraId="0ED6A5B7" w14:textId="7273AB2D" w:rsidR="005339E2" w:rsidRDefault="005339E2" w:rsidP="005339E2">
      <w:pPr>
        <w:pStyle w:val="Prrafodelista"/>
        <w:numPr>
          <w:ilvl w:val="0"/>
          <w:numId w:val="1"/>
        </w:numPr>
        <w:jc w:val="both"/>
      </w:pPr>
      <w:r>
        <w:t>El Índice de la Producción Minera y de</w:t>
      </w:r>
      <w:r>
        <w:t xml:space="preserve"> </w:t>
      </w:r>
      <w:r>
        <w:t>Hidrocarburos registró disminución de 1,36%</w:t>
      </w:r>
      <w:r>
        <w:t xml:space="preserve"> </w:t>
      </w:r>
      <w:r>
        <w:t>en febrero 2025, por disminución de la actividad</w:t>
      </w:r>
      <w:r>
        <w:t xml:space="preserve"> </w:t>
      </w:r>
      <w:r>
        <w:t>minera metálica en -1,23%, como consecuencia</w:t>
      </w:r>
      <w:r>
        <w:t xml:space="preserve"> </w:t>
      </w:r>
      <w:r>
        <w:t>del menor nivel de producción de oro, zinc, hierro</w:t>
      </w:r>
      <w:r>
        <w:t xml:space="preserve"> </w:t>
      </w:r>
      <w:r>
        <w:t>y plomo; y del subsector de hidrocarburos en</w:t>
      </w:r>
      <w:r>
        <w:t xml:space="preserve"> </w:t>
      </w:r>
      <w:r>
        <w:t>-2,24% debido al menor volumen de explotación</w:t>
      </w:r>
      <w:r>
        <w:t xml:space="preserve"> </w:t>
      </w:r>
      <w:r>
        <w:t>de líquidos de gas natural y de gas natural.</w:t>
      </w:r>
    </w:p>
    <w:p w14:paraId="7642555F" w14:textId="5BAFC54D" w:rsidR="00F6306F" w:rsidRDefault="005339E2" w:rsidP="005339E2">
      <w:pPr>
        <w:pStyle w:val="Prrafodelista"/>
        <w:numPr>
          <w:ilvl w:val="0"/>
          <w:numId w:val="1"/>
        </w:numPr>
        <w:jc w:val="both"/>
      </w:pPr>
      <w:r>
        <w:t>El comportamiento contractivo de la minería</w:t>
      </w:r>
      <w:r>
        <w:t xml:space="preserve"> </w:t>
      </w:r>
      <w:r>
        <w:t>metálica en febrero 2025 fue explicado por</w:t>
      </w:r>
      <w:r>
        <w:t xml:space="preserve"> </w:t>
      </w:r>
      <w:r>
        <w:t>el menor tonelaje tratado en las plantas de</w:t>
      </w:r>
      <w:r>
        <w:t xml:space="preserve"> </w:t>
      </w:r>
      <w:r>
        <w:t>concentración debido al minado en zonas de</w:t>
      </w:r>
      <w:r>
        <w:t xml:space="preserve"> </w:t>
      </w:r>
      <w:r>
        <w:t>baja ley de mineral</w:t>
      </w:r>
      <w:r w:rsidR="00F6306F">
        <w:t>.</w:t>
      </w:r>
    </w:p>
    <w:p w14:paraId="69D2079C" w14:textId="77777777" w:rsidR="00F6306F" w:rsidRDefault="00F6306F" w:rsidP="00F6306F">
      <w:pPr>
        <w:jc w:val="both"/>
      </w:pPr>
      <w:r w:rsidRPr="00963670">
        <w:t>Variación interanual del Índice de la Producción Minera y de Hidrocarburos</w:t>
      </w:r>
    </w:p>
    <w:p w14:paraId="46E6E339" w14:textId="46933B6D" w:rsidR="005339E2" w:rsidRDefault="005339E2" w:rsidP="005339E2">
      <w:pPr>
        <w:jc w:val="both"/>
      </w:pPr>
      <w:r>
        <w:t>En febrero 2025, la variación de -1,36% fue</w:t>
      </w:r>
      <w:r>
        <w:t xml:space="preserve"> </w:t>
      </w:r>
      <w:r>
        <w:t>determinada por la contracción de la actividad</w:t>
      </w:r>
      <w:r>
        <w:t xml:space="preserve"> </w:t>
      </w:r>
      <w:r>
        <w:t>minera metálica en -1,23% con una incidencia de</w:t>
      </w:r>
      <w:r>
        <w:t xml:space="preserve"> </w:t>
      </w:r>
      <w:r>
        <w:t>-1,06 puntos porcentuales en el resultado global</w:t>
      </w:r>
      <w:r>
        <w:t xml:space="preserve"> </w:t>
      </w:r>
      <w:r>
        <w:t>del sector; y del subsector hidrocarburos en -2,24%</w:t>
      </w:r>
      <w:r>
        <w:t xml:space="preserve"> </w:t>
      </w:r>
      <w:r>
        <w:t>con una incidencia de -0,29 puntos porcentuales</w:t>
      </w:r>
      <w:r>
        <w:t xml:space="preserve"> </w:t>
      </w:r>
      <w:r>
        <w:t>en el total.</w:t>
      </w:r>
    </w:p>
    <w:p w14:paraId="1E3EC7E4" w14:textId="6B120BFE" w:rsidR="005339E2" w:rsidRDefault="005339E2" w:rsidP="005339E2">
      <w:pPr>
        <w:jc w:val="both"/>
      </w:pPr>
      <w:r>
        <w:t>La minería metálica decreció en 1,23% ante el menor</w:t>
      </w:r>
      <w:r>
        <w:t xml:space="preserve"> </w:t>
      </w:r>
      <w:r>
        <w:t>nivel de producción de oro en -15,67%, zinc -2,08%,</w:t>
      </w:r>
      <w:r>
        <w:t xml:space="preserve"> </w:t>
      </w:r>
      <w:r>
        <w:t>hierro -5,19% y de plomo en -3,42%; sin embargo,</w:t>
      </w:r>
      <w:r>
        <w:t xml:space="preserve"> </w:t>
      </w:r>
      <w:r>
        <w:t>hubo aumento en la producción de plata 9,00%,</w:t>
      </w:r>
      <w:r>
        <w:t xml:space="preserve"> </w:t>
      </w:r>
      <w:r>
        <w:t>cobre 0,46%, molibdeno 1,47% y estaño 0,80%.</w:t>
      </w:r>
    </w:p>
    <w:p w14:paraId="53635C5B" w14:textId="4A265EC9" w:rsidR="00F6306F" w:rsidRDefault="005339E2" w:rsidP="005339E2">
      <w:pPr>
        <w:jc w:val="both"/>
      </w:pPr>
      <w:r>
        <w:t>La producción de hidrocarburos disminuyó en 2,24%,</w:t>
      </w:r>
      <w:r>
        <w:t xml:space="preserve"> </w:t>
      </w:r>
      <w:r>
        <w:t>por la menor explotación de líquidos de gas natural</w:t>
      </w:r>
      <w:r>
        <w:t xml:space="preserve"> </w:t>
      </w:r>
      <w:r>
        <w:t>en -6,56% y de gas natural en -4,48%; sin embargo,</w:t>
      </w:r>
      <w:r>
        <w:t xml:space="preserve"> </w:t>
      </w:r>
      <w:r>
        <w:t>la producción de petróleo crudo se incrementó en</w:t>
      </w:r>
      <w:r>
        <w:t xml:space="preserve"> </w:t>
      </w:r>
      <w:r>
        <w:t>7,76%.</w:t>
      </w:r>
      <w:r w:rsidR="00F6306F">
        <w:br w:type="page"/>
      </w:r>
    </w:p>
    <w:p w14:paraId="25DB0440" w14:textId="30FABFF6" w:rsidR="00F6306F" w:rsidRDefault="00F6306F" w:rsidP="00F6306F">
      <w:pPr>
        <w:jc w:val="both"/>
      </w:pPr>
      <w:r w:rsidRPr="006E40AA">
        <w:lastRenderedPageBreak/>
        <w:t xml:space="preserve">Producción Sectorial: </w:t>
      </w:r>
      <w:r w:rsidR="005339E2">
        <w:t>Febrero</w:t>
      </w:r>
      <w:r w:rsidRPr="006E40AA">
        <w:t xml:space="preserve"> 2025</w:t>
      </w:r>
    </w:p>
    <w:p w14:paraId="5E3EC205" w14:textId="77777777" w:rsidR="00F6306F" w:rsidRDefault="00F6306F" w:rsidP="00F6306F">
      <w:pPr>
        <w:jc w:val="both"/>
      </w:pPr>
      <w:r w:rsidRPr="00FC1E19">
        <w:t>Sector Minería e Hidrocarburos</w:t>
      </w:r>
    </w:p>
    <w:p w14:paraId="28A6318E" w14:textId="63C5F5BF" w:rsidR="00F6306F" w:rsidRDefault="005339E2" w:rsidP="005339E2">
      <w:pPr>
        <w:jc w:val="both"/>
      </w:pPr>
      <w:r>
        <w:t>El sector minería e hidrocarburos</w:t>
      </w:r>
      <w:r>
        <w:t xml:space="preserve"> </w:t>
      </w:r>
      <w:r>
        <w:t>en febrero de 2025 registró</w:t>
      </w:r>
      <w:r>
        <w:t xml:space="preserve"> </w:t>
      </w:r>
      <w:r>
        <w:t>una disminución de 1,36%, en</w:t>
      </w:r>
      <w:r>
        <w:t xml:space="preserve"> </w:t>
      </w:r>
      <w:r>
        <w:t>comparación con el nivel de</w:t>
      </w:r>
      <w:r>
        <w:t xml:space="preserve"> </w:t>
      </w:r>
      <w:r>
        <w:t>producción de similar mes del</w:t>
      </w:r>
      <w:r>
        <w:t xml:space="preserve"> </w:t>
      </w:r>
      <w:r>
        <w:t>2024, tras el alza en los dos meses</w:t>
      </w:r>
      <w:r>
        <w:t xml:space="preserve"> </w:t>
      </w:r>
      <w:r>
        <w:t>previos, como consecuencia</w:t>
      </w:r>
      <w:r>
        <w:t xml:space="preserve"> </w:t>
      </w:r>
      <w:r>
        <w:t>del desempeño negativo de</w:t>
      </w:r>
      <w:r>
        <w:t xml:space="preserve"> </w:t>
      </w:r>
      <w:r>
        <w:t>la actividad minera metálica</w:t>
      </w:r>
      <w:r>
        <w:t xml:space="preserve"> </w:t>
      </w:r>
      <w:r>
        <w:t>en -1,23%, debido a menores</w:t>
      </w:r>
      <w:r>
        <w:t xml:space="preserve"> </w:t>
      </w:r>
      <w:r>
        <w:t>volúmenes de producción de</w:t>
      </w:r>
      <w:r>
        <w:t xml:space="preserve"> </w:t>
      </w:r>
      <w:r>
        <w:t>oro, zinc, hierro y plomo; y del</w:t>
      </w:r>
      <w:r>
        <w:t xml:space="preserve"> </w:t>
      </w:r>
      <w:r>
        <w:t>subsector de hidrocarburos en</w:t>
      </w:r>
      <w:r>
        <w:t xml:space="preserve"> </w:t>
      </w:r>
      <w:r>
        <w:t>-2,24% ante la menor explotación de líquidos de gas natural y de gas natural.</w:t>
      </w:r>
    </w:p>
    <w:p w14:paraId="0AC7D21B" w14:textId="69E628D7" w:rsidR="00F6306F" w:rsidRDefault="005339E2" w:rsidP="005339E2">
      <w:pPr>
        <w:jc w:val="both"/>
      </w:pPr>
      <w:r>
        <w:t>La minería metálica (-1,23%) en febrero de 2025 presentó un comportamiento decreciente determinado</w:t>
      </w:r>
      <w:r>
        <w:t xml:space="preserve"> </w:t>
      </w:r>
      <w:r>
        <w:t>por los menores niveles de producción de oro (-15,67%) con una incidencia negativa de 1,41 puntos</w:t>
      </w:r>
      <w:r>
        <w:t xml:space="preserve"> </w:t>
      </w:r>
      <w:r>
        <w:t>porcentuales en el índice global del sector, secundada en menor magnitud por baja en la producción</w:t>
      </w:r>
      <w:r>
        <w:t xml:space="preserve"> </w:t>
      </w:r>
      <w:r>
        <w:t>de zinc (-2,08%), hierro (-5,19%) y de plomo (-3,42%) con una incidencia conjunta de -0,43 puntos</w:t>
      </w:r>
      <w:r>
        <w:t xml:space="preserve"> </w:t>
      </w:r>
      <w:r>
        <w:t>porcentuales; situación atenuada por aumento en los volúmenes de producción de plata (9,00%), cobre</w:t>
      </w:r>
      <w:r>
        <w:t xml:space="preserve"> </w:t>
      </w:r>
      <w:r>
        <w:t>(0,46%), molibdeno (1,47%) y de estaño (0,80%), los cuatro productos con una contribución de 0,77</w:t>
      </w:r>
      <w:r>
        <w:t xml:space="preserve"> </w:t>
      </w:r>
      <w:r>
        <w:t>puntos porcentuales.</w:t>
      </w:r>
    </w:p>
    <w:p w14:paraId="2ED40E28" w14:textId="52820657" w:rsidR="00F6306F" w:rsidRDefault="005339E2" w:rsidP="005339E2">
      <w:pPr>
        <w:jc w:val="both"/>
      </w:pPr>
      <w:r>
        <w:t>El subsector de hidrocarburos en febrero de 2025 disminuyó en 2,24%, en baja por segundo mes</w:t>
      </w:r>
      <w:r>
        <w:t xml:space="preserve"> </w:t>
      </w:r>
      <w:r>
        <w:t>consecutivo, debido a la menor explotación de líquidos de gas natural con una variación de -6,56% y de</w:t>
      </w:r>
      <w:r>
        <w:t xml:space="preserve"> </w:t>
      </w:r>
      <w:r>
        <w:t>gas natural -4,48%; en cambio, la producción de petróleo crudo aumentó en 7,76%.</w:t>
      </w:r>
    </w:p>
    <w:p w14:paraId="182FDECA" w14:textId="77777777" w:rsidR="00F6306F" w:rsidRDefault="00F6306F" w:rsidP="00F6306F">
      <w:pPr>
        <w:jc w:val="both"/>
      </w:pPr>
      <w:r>
        <w:br w:type="page"/>
      </w:r>
    </w:p>
    <w:p w14:paraId="7F829F14" w14:textId="176524CF" w:rsidR="00F6306F" w:rsidRDefault="00640399" w:rsidP="00F6306F">
      <w:pPr>
        <w:jc w:val="both"/>
      </w:pPr>
      <w:r w:rsidRPr="00640399">
        <w:lastRenderedPageBreak/>
        <w:t>Producción Sectorial: Enero-Febrero 2025</w:t>
      </w:r>
    </w:p>
    <w:p w14:paraId="511DCF34" w14:textId="77777777" w:rsidR="00F6306F" w:rsidRDefault="00F6306F" w:rsidP="00F6306F">
      <w:pPr>
        <w:jc w:val="both"/>
      </w:pPr>
      <w:r w:rsidRPr="00AA60AE">
        <w:t>Sector Minería e Hidrocarburos</w:t>
      </w:r>
    </w:p>
    <w:p w14:paraId="797F3CD6" w14:textId="577FAFE3" w:rsidR="001B77DC" w:rsidRDefault="001B77DC" w:rsidP="001B77DC">
      <w:pPr>
        <w:jc w:val="both"/>
      </w:pPr>
      <w:r>
        <w:t>En el periodo de enero a febrero de 2025, el sector minería e hidrocarburos presentó una variación</w:t>
      </w:r>
      <w:r>
        <w:t xml:space="preserve"> </w:t>
      </w:r>
      <w:r>
        <w:t>acumulada de -0,02%, como resultado de la evolución decreciente del subsector de hidrocarburos.</w:t>
      </w:r>
    </w:p>
    <w:p w14:paraId="4E8A4991" w14:textId="38136CCB" w:rsidR="001B77DC" w:rsidRDefault="001B77DC" w:rsidP="001B77DC">
      <w:pPr>
        <w:jc w:val="both"/>
      </w:pPr>
      <w:r>
        <w:t>La actividad minera metálica aumentó en 0,92%, ante los mayores volúmenes de producción de cobre</w:t>
      </w:r>
      <w:r>
        <w:t xml:space="preserve"> </w:t>
      </w:r>
      <w:r>
        <w:t>3,77%, molibdeno 11,25%, plata 6,80% y de estaño 0,55%, los cuatro metales con una contribución de</w:t>
      </w:r>
      <w:r>
        <w:t xml:space="preserve"> </w:t>
      </w:r>
      <w:r>
        <w:t>3,06 puntos porcentuales al desempeño consolidado del sector, atenuado en forma parcial por la menor</w:t>
      </w:r>
      <w:r>
        <w:t xml:space="preserve"> </w:t>
      </w:r>
      <w:r>
        <w:t>producción de oro en -15,80%, zinc -6,99%, plomo -4,14% y de hierro en -1,15%, con una incidencia</w:t>
      </w:r>
      <w:r>
        <w:t xml:space="preserve"> </w:t>
      </w:r>
      <w:r>
        <w:t>negativa de 2,27 puntos porcentuales.</w:t>
      </w:r>
    </w:p>
    <w:p w14:paraId="338B744E" w14:textId="5FCCCABB" w:rsidR="00F6306F" w:rsidRDefault="001B77DC" w:rsidP="001B77DC">
      <w:pPr>
        <w:jc w:val="both"/>
      </w:pPr>
      <w:r>
        <w:t>En tanto que, el subsector hidrocarburos disminuyó en 5,81%,</w:t>
      </w:r>
      <w:r>
        <w:t xml:space="preserve"> </w:t>
      </w:r>
      <w:r>
        <w:t>ante el menor volumen de explotación de líquidos de gas natural en -12,66% y de gas natural en -8,10%,</w:t>
      </w:r>
      <w:r>
        <w:t xml:space="preserve"> </w:t>
      </w:r>
      <w:r>
        <w:t>ambos recursos con una incidencia de -1,11 puntos porcentuales al resultado sectorial; situación</w:t>
      </w:r>
      <w:r>
        <w:t xml:space="preserve"> </w:t>
      </w:r>
      <w:r>
        <w:t>atenuada por la mayor producción acumulada de petróleo crudo en 8,30% con una contribución de 0,30</w:t>
      </w:r>
      <w:r>
        <w:t xml:space="preserve"> </w:t>
      </w:r>
      <w:r>
        <w:t>puntos porcentuales al total.</w:t>
      </w:r>
    </w:p>
    <w:p w14:paraId="2877C5C4" w14:textId="77777777" w:rsidR="0034678C" w:rsidRDefault="0034678C"/>
    <w:sectPr w:rsidR="003467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581F5E"/>
    <w:multiLevelType w:val="hybridMultilevel"/>
    <w:tmpl w:val="141A8A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22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06F"/>
    <w:rsid w:val="001B77DC"/>
    <w:rsid w:val="00344F53"/>
    <w:rsid w:val="0034678C"/>
    <w:rsid w:val="005339E2"/>
    <w:rsid w:val="00640399"/>
    <w:rsid w:val="00BD32AE"/>
    <w:rsid w:val="00F63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240D61"/>
  <w15:chartTrackingRefBased/>
  <w15:docId w15:val="{247C7F50-BC48-44A9-85D5-241ECBAD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06F"/>
  </w:style>
  <w:style w:type="paragraph" w:styleId="Ttulo1">
    <w:name w:val="heading 1"/>
    <w:basedOn w:val="Normal"/>
    <w:next w:val="Normal"/>
    <w:link w:val="Ttulo1Car"/>
    <w:uiPriority w:val="9"/>
    <w:qFormat/>
    <w:rsid w:val="00F63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3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3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3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3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3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3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3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3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3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3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3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30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30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30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30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30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30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3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3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3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3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3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30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30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30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3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30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3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FFFFFF"/>
      </a:dk1>
      <a:lt1>
        <a:sysClr val="window" lastClr="2D3236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613</Words>
  <Characters>3373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JC</cp:lastModifiedBy>
  <cp:revision>4</cp:revision>
  <dcterms:created xsi:type="dcterms:W3CDTF">2026-04-26T17:17:00Z</dcterms:created>
  <dcterms:modified xsi:type="dcterms:W3CDTF">2026-04-26T17:20:00Z</dcterms:modified>
</cp:coreProperties>
</file>