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D4842" w14:textId="77777777" w:rsidR="00BC1478" w:rsidRDefault="00BC1478" w:rsidP="00BC1478">
      <w:r>
        <w:t>EVOLUCIÓN SECTORIAL</w:t>
      </w:r>
    </w:p>
    <w:p w14:paraId="5E39ED62" w14:textId="77777777" w:rsidR="00BC1478" w:rsidRDefault="00BC1478" w:rsidP="00BC1478">
      <w:r>
        <w:t>Índice de la Producción Minera y de Hidrocarburos</w:t>
      </w:r>
    </w:p>
    <w:p w14:paraId="6F54A788" w14:textId="77777777" w:rsidR="00BC1478" w:rsidRDefault="00BC1478" w:rsidP="00BC1478">
      <w:r>
        <w:t>Año base 2007</w:t>
      </w:r>
    </w:p>
    <w:p w14:paraId="2AD2B461" w14:textId="1663F9CA" w:rsidR="00795029" w:rsidRDefault="00795029" w:rsidP="00795029">
      <w:pPr>
        <w:pStyle w:val="Prrafodelista"/>
        <w:numPr>
          <w:ilvl w:val="0"/>
          <w:numId w:val="1"/>
        </w:numPr>
        <w:jc w:val="both"/>
      </w:pPr>
      <w:r>
        <w:t>El Índice de la Producción Minera y de</w:t>
      </w:r>
      <w:r>
        <w:t xml:space="preserve"> </w:t>
      </w:r>
      <w:r>
        <w:t>Hidrocarburos registró crecimiento de 7,04% en</w:t>
      </w:r>
      <w:r>
        <w:t xml:space="preserve"> </w:t>
      </w:r>
      <w:r>
        <w:t>marzo 2025, por evolución positiva del subsector</w:t>
      </w:r>
      <w:r>
        <w:t xml:space="preserve"> </w:t>
      </w:r>
      <w:r>
        <w:t>minero metálico en 7,45%, ante incremento en el</w:t>
      </w:r>
      <w:r>
        <w:t xml:space="preserve"> </w:t>
      </w:r>
      <w:r>
        <w:t>nivel de producción de cobre, zinc y molibdeno,</w:t>
      </w:r>
      <w:r>
        <w:t xml:space="preserve"> </w:t>
      </w:r>
      <w:r>
        <w:t>principalmente; y del subsector de hidrocarburos</w:t>
      </w:r>
      <w:r>
        <w:t xml:space="preserve"> </w:t>
      </w:r>
      <w:r>
        <w:t>en 4,52% por mayor volumen de explotación de</w:t>
      </w:r>
      <w:r>
        <w:t xml:space="preserve"> </w:t>
      </w:r>
      <w:r>
        <w:t>petróleo crudo y de gas natural.</w:t>
      </w:r>
    </w:p>
    <w:p w14:paraId="6D38A54F" w14:textId="5031AEFE" w:rsidR="00BC1478" w:rsidRDefault="00795029" w:rsidP="00795029">
      <w:pPr>
        <w:pStyle w:val="Prrafodelista"/>
        <w:numPr>
          <w:ilvl w:val="0"/>
          <w:numId w:val="1"/>
        </w:numPr>
        <w:jc w:val="both"/>
      </w:pPr>
      <w:r>
        <w:t>La expansión de la actividad minera metálica en</w:t>
      </w:r>
      <w:r>
        <w:t xml:space="preserve"> </w:t>
      </w:r>
      <w:r>
        <w:t>marzo 2025 estuvo asociada al mayor tonelaje</w:t>
      </w:r>
      <w:r>
        <w:t xml:space="preserve"> </w:t>
      </w:r>
      <w:r>
        <w:t>extraído con mejores leyes en los minerales</w:t>
      </w:r>
      <w:r>
        <w:t xml:space="preserve"> </w:t>
      </w:r>
      <w:r>
        <w:t>procesados en las plantas concentradoras</w:t>
      </w:r>
      <w:r w:rsidR="00BC1478">
        <w:t>.</w:t>
      </w:r>
    </w:p>
    <w:p w14:paraId="312ABD56" w14:textId="77777777" w:rsidR="00BC1478" w:rsidRDefault="00BC1478" w:rsidP="00BC1478">
      <w:pPr>
        <w:jc w:val="both"/>
      </w:pPr>
      <w:r w:rsidRPr="00963670">
        <w:t>Variación interanual del Índice de la Producción Minera y de Hidrocarburos</w:t>
      </w:r>
    </w:p>
    <w:p w14:paraId="384FE9BA" w14:textId="7C561984" w:rsidR="00795029" w:rsidRDefault="00795029" w:rsidP="00795029">
      <w:pPr>
        <w:jc w:val="both"/>
      </w:pPr>
      <w:r>
        <w:t>En marzo 2025, la variación de 7,04% fue</w:t>
      </w:r>
      <w:r>
        <w:t xml:space="preserve"> </w:t>
      </w:r>
      <w:r>
        <w:t>determinada por el avance de la actividad minera</w:t>
      </w:r>
      <w:r>
        <w:t xml:space="preserve"> </w:t>
      </w:r>
      <w:r>
        <w:t>metálica en 7,45% con una contribución de 6,41</w:t>
      </w:r>
      <w:r>
        <w:t xml:space="preserve"> </w:t>
      </w:r>
      <w:r>
        <w:t>puntos porcentuales en el resultado global del</w:t>
      </w:r>
      <w:r>
        <w:t xml:space="preserve"> </w:t>
      </w:r>
      <w:r>
        <w:t>sector; y del subsector hidrocarburos en 4,52% con</w:t>
      </w:r>
      <w:r>
        <w:t xml:space="preserve"> </w:t>
      </w:r>
      <w:r>
        <w:t>una incidencia de 0,63 puntos porcentuales en el</w:t>
      </w:r>
      <w:r>
        <w:t xml:space="preserve"> </w:t>
      </w:r>
      <w:r>
        <w:t>total.</w:t>
      </w:r>
    </w:p>
    <w:p w14:paraId="72AD4798" w14:textId="5D1F4272" w:rsidR="00795029" w:rsidRDefault="00795029" w:rsidP="00795029">
      <w:pPr>
        <w:jc w:val="both"/>
      </w:pPr>
      <w:r>
        <w:t>La minería metálica creció 7,45% ante el mayor</w:t>
      </w:r>
      <w:r>
        <w:t xml:space="preserve"> </w:t>
      </w:r>
      <w:r>
        <w:t>nivel de producción de cobre en 4,77%, zinc 17,46%,</w:t>
      </w:r>
      <w:r>
        <w:t xml:space="preserve"> </w:t>
      </w:r>
      <w:r>
        <w:t>molibdeno 15,93%, plata 19,55%, plomo 17,33% y</w:t>
      </w:r>
      <w:r>
        <w:t xml:space="preserve"> </w:t>
      </w:r>
      <w:r>
        <w:t>oro en 0,03%; sin embargo, disminuyó la producción</w:t>
      </w:r>
      <w:r>
        <w:t xml:space="preserve"> </w:t>
      </w:r>
      <w:r>
        <w:t>de estaño en -3,03% y de hierro -0,24%.</w:t>
      </w:r>
    </w:p>
    <w:p w14:paraId="5B19424D" w14:textId="545C57FB" w:rsidR="00BC1478" w:rsidRDefault="00795029" w:rsidP="00795029">
      <w:pPr>
        <w:jc w:val="both"/>
      </w:pPr>
      <w:r>
        <w:t>La producción de hidrocarburos se incrementó en</w:t>
      </w:r>
      <w:r>
        <w:t xml:space="preserve"> </w:t>
      </w:r>
      <w:r>
        <w:t>4,52%, por la mayor producción de petróleo crudo</w:t>
      </w:r>
      <w:r>
        <w:t xml:space="preserve"> </w:t>
      </w:r>
      <w:r>
        <w:t>en 16,29% y de gas natural en 1,63%; en tanto que,</w:t>
      </w:r>
      <w:r>
        <w:t xml:space="preserve"> </w:t>
      </w:r>
      <w:r>
        <w:t>la extracción de líquidos de gas natural se redujo</w:t>
      </w:r>
      <w:r>
        <w:t xml:space="preserve"> </w:t>
      </w:r>
      <w:r>
        <w:t>en 0,51%</w:t>
      </w:r>
      <w:r w:rsidR="00BC1478">
        <w:t>.</w:t>
      </w:r>
      <w:r w:rsidR="00BC1478">
        <w:br w:type="page"/>
      </w:r>
    </w:p>
    <w:p w14:paraId="03C7D16D" w14:textId="740DB275" w:rsidR="006E40AA" w:rsidRDefault="006E40AA" w:rsidP="00BC1478">
      <w:pPr>
        <w:jc w:val="both"/>
      </w:pPr>
      <w:r w:rsidRPr="006E40AA">
        <w:lastRenderedPageBreak/>
        <w:t>Producción Sectorial: Marzo 2025</w:t>
      </w:r>
    </w:p>
    <w:p w14:paraId="7FB85EA8" w14:textId="77777777" w:rsidR="00BC1478" w:rsidRDefault="00BC1478" w:rsidP="00BC1478">
      <w:pPr>
        <w:jc w:val="both"/>
      </w:pPr>
      <w:r w:rsidRPr="00FC1E19">
        <w:t>Sector Minería e Hidrocarburos</w:t>
      </w:r>
    </w:p>
    <w:p w14:paraId="5F1457BA" w14:textId="74DA0955" w:rsidR="00BC1478" w:rsidRDefault="006E40AA" w:rsidP="006E40AA">
      <w:pPr>
        <w:jc w:val="both"/>
      </w:pPr>
      <w:r>
        <w:t>El sector minería e hidrocarburos</w:t>
      </w:r>
      <w:r>
        <w:t xml:space="preserve"> </w:t>
      </w:r>
      <w:r>
        <w:t>en marzo de 2025 registró</w:t>
      </w:r>
      <w:r>
        <w:t xml:space="preserve"> </w:t>
      </w:r>
      <w:r>
        <w:t>un crecimiento de 7,04%, en</w:t>
      </w:r>
      <w:r>
        <w:t xml:space="preserve"> </w:t>
      </w:r>
      <w:r>
        <w:t>comparación con el nivel de</w:t>
      </w:r>
      <w:r>
        <w:t xml:space="preserve"> </w:t>
      </w:r>
      <w:r>
        <w:t>producción de similar mes del</w:t>
      </w:r>
      <w:r>
        <w:t xml:space="preserve"> </w:t>
      </w:r>
      <w:r>
        <w:t>2024, tras la disminución en el</w:t>
      </w:r>
      <w:r>
        <w:t xml:space="preserve"> </w:t>
      </w:r>
      <w:r>
        <w:t>mes previo, sustentado en la</w:t>
      </w:r>
      <w:r>
        <w:t xml:space="preserve"> </w:t>
      </w:r>
      <w:r>
        <w:t>evolución positiva de la actividad</w:t>
      </w:r>
      <w:r>
        <w:t xml:space="preserve"> </w:t>
      </w:r>
      <w:r>
        <w:t>minera metálica en 7,45%,</w:t>
      </w:r>
      <w:r>
        <w:t xml:space="preserve"> </w:t>
      </w:r>
      <w:r>
        <w:t>debido principalmente a mayores</w:t>
      </w:r>
      <w:r>
        <w:t xml:space="preserve"> </w:t>
      </w:r>
      <w:r>
        <w:t>volúmenes de producción de</w:t>
      </w:r>
      <w:r>
        <w:t xml:space="preserve"> </w:t>
      </w:r>
      <w:r>
        <w:t>cobre, zinc, molibdeno y plata; y del subsector de hidrocarburos en 4,52% ante la mayor explotación de</w:t>
      </w:r>
      <w:r>
        <w:t xml:space="preserve"> </w:t>
      </w:r>
      <w:r>
        <w:t>petróleo crudo y de gas natural.</w:t>
      </w:r>
    </w:p>
    <w:p w14:paraId="2A766EC9" w14:textId="6B259437" w:rsidR="00BC1478" w:rsidRDefault="006E40AA" w:rsidP="006E40AA">
      <w:pPr>
        <w:jc w:val="both"/>
      </w:pPr>
      <w:r>
        <w:t>La minería metálica, en marzo de 2025, aumentó en 7,45% determinado por el aumento en la producción</w:t>
      </w:r>
      <w:r>
        <w:t xml:space="preserve"> </w:t>
      </w:r>
      <w:r>
        <w:t>de cobre en 4,77%, zinc 17,46%, molibdeno 15,93% y plata en 19,55%, los cuatro productos con una</w:t>
      </w:r>
      <w:r>
        <w:t xml:space="preserve"> </w:t>
      </w:r>
      <w:r>
        <w:t>contribución de 6,15 puntos porcentuales al resultado global del sector, secundada por los incrementos</w:t>
      </w:r>
      <w:r>
        <w:t xml:space="preserve"> </w:t>
      </w:r>
      <w:r>
        <w:t>en la producción de plomo en 17,33% y de oro en 0,03%, ambos productos con un aporte de 0,28 puntos</w:t>
      </w:r>
      <w:r>
        <w:t xml:space="preserve"> </w:t>
      </w:r>
      <w:r>
        <w:t>porcentuales. En cambio, hubo menores niveles de producción de estaño en -3,03% y de hierro en</w:t>
      </w:r>
      <w:r>
        <w:t xml:space="preserve"> </w:t>
      </w:r>
      <w:r>
        <w:t>-0,24%, ambos con una incidencia negativa de 0,02 puntos porcentuales.</w:t>
      </w:r>
    </w:p>
    <w:p w14:paraId="1C84E44C" w14:textId="7BCC52DC" w:rsidR="00BC1478" w:rsidRDefault="006E40AA" w:rsidP="006E40AA">
      <w:pPr>
        <w:jc w:val="both"/>
      </w:pPr>
      <w:r>
        <w:t>El subsector de hidrocarburos en marzo de 2025 aumentó en 4,52%, como resultado de la mayor</w:t>
      </w:r>
      <w:r>
        <w:t xml:space="preserve"> </w:t>
      </w:r>
      <w:r>
        <w:t>producción de petróleo crudo en 16,29% y de gas natural en 1,63%; en tanto que, la explotación de</w:t>
      </w:r>
      <w:r>
        <w:t xml:space="preserve"> </w:t>
      </w:r>
      <w:r>
        <w:t>líquidos de gas natural presentó una variación de -0,51%</w:t>
      </w:r>
      <w:r w:rsidR="00BC1478">
        <w:t>.</w:t>
      </w:r>
    </w:p>
    <w:p w14:paraId="3136F1D4" w14:textId="77777777" w:rsidR="00BC1478" w:rsidRDefault="00BC1478" w:rsidP="00BC1478">
      <w:pPr>
        <w:jc w:val="both"/>
      </w:pPr>
      <w:r>
        <w:br w:type="page"/>
      </w:r>
    </w:p>
    <w:p w14:paraId="05ED2A00" w14:textId="29053E64" w:rsidR="006E40AA" w:rsidRDefault="006E40AA" w:rsidP="00BC1478">
      <w:pPr>
        <w:jc w:val="both"/>
      </w:pPr>
      <w:r w:rsidRPr="006E40AA">
        <w:lastRenderedPageBreak/>
        <w:t>Producción Sectorial: Enero-Marzo 2025</w:t>
      </w:r>
    </w:p>
    <w:p w14:paraId="1DAD994F" w14:textId="77777777" w:rsidR="00BC1478" w:rsidRDefault="00BC1478" w:rsidP="00BC1478">
      <w:pPr>
        <w:jc w:val="both"/>
      </w:pPr>
      <w:r w:rsidRPr="00AA60AE">
        <w:t>Sector Minería e Hidrocarburos</w:t>
      </w:r>
    </w:p>
    <w:p w14:paraId="57C886B3" w14:textId="17BE84DE" w:rsidR="006E40AA" w:rsidRDefault="006E40AA" w:rsidP="006E40AA">
      <w:pPr>
        <w:jc w:val="both"/>
      </w:pPr>
      <w:r>
        <w:t>En el periodo de enero a marzo de 2025, el sector minería e hidrocarburos presentó una variación</w:t>
      </w:r>
      <w:r>
        <w:t xml:space="preserve"> </w:t>
      </w:r>
      <w:r>
        <w:t>acumulada de 2,40%, como resultado de la evolución positiva del subsector minería metálica.</w:t>
      </w:r>
    </w:p>
    <w:p w14:paraId="157B712A" w14:textId="18C75E9B" w:rsidR="006E40AA" w:rsidRDefault="006E40AA" w:rsidP="006E40AA">
      <w:pPr>
        <w:jc w:val="both"/>
      </w:pPr>
      <w:r>
        <w:t>La actividad minera metálica aumentó en 3,16%, ante los mayores volúmenes de producción de cobre</w:t>
      </w:r>
      <w:r>
        <w:t xml:space="preserve"> </w:t>
      </w:r>
      <w:r>
        <w:t>4,11%, molibdeno 12,97%, plata 10,75%, zinc 0,82% y de plomo 2,64%, los cinco metales con una</w:t>
      </w:r>
      <w:r>
        <w:t xml:space="preserve"> </w:t>
      </w:r>
      <w:r>
        <w:t>contribución de 3,71 puntos porcentuales al desempeño consolidado del sector; de otro lado, hubo</w:t>
      </w:r>
      <w:r>
        <w:t xml:space="preserve"> </w:t>
      </w:r>
      <w:r>
        <w:t>menor producción de oro en -10,51%, hierro -0,83% y de estaño en -0,78%, con una incidencia negativa</w:t>
      </w:r>
      <w:r>
        <w:t xml:space="preserve"> </w:t>
      </w:r>
      <w:r>
        <w:t xml:space="preserve">de 0,99 puntos porcentuales. </w:t>
      </w:r>
    </w:p>
    <w:p w14:paraId="150B8F43" w14:textId="64BF2F03" w:rsidR="0034678C" w:rsidRDefault="006E40AA" w:rsidP="006E40AA">
      <w:pPr>
        <w:jc w:val="both"/>
      </w:pPr>
      <w:r>
        <w:t>En tanto que, el subsector hidrocarburos disminuyó en 2,33%, ante el menor</w:t>
      </w:r>
      <w:r>
        <w:t xml:space="preserve"> </w:t>
      </w:r>
      <w:r>
        <w:t>volumen de explotación de líquidos de gas natural en -8,61% y de gas natural en -4,75%, ambos recursos</w:t>
      </w:r>
      <w:r>
        <w:t xml:space="preserve"> </w:t>
      </w:r>
      <w:r>
        <w:t>con una incidencia de -0,73 puntos porcentuales al resultado sectorial; pero hubo mayor producción</w:t>
      </w:r>
      <w:r>
        <w:t xml:space="preserve"> </w:t>
      </w:r>
      <w:r>
        <w:t>acumulada de petróleo crudo en 10,98% con una contribución de 0,40 puntos porcentuales al total.</w:t>
      </w:r>
    </w:p>
    <w:sectPr w:rsidR="00346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1F5E"/>
    <w:multiLevelType w:val="hybridMultilevel"/>
    <w:tmpl w:val="141A8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2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78"/>
    <w:rsid w:val="00344F53"/>
    <w:rsid w:val="0034678C"/>
    <w:rsid w:val="006E40AA"/>
    <w:rsid w:val="00795029"/>
    <w:rsid w:val="00BC1478"/>
    <w:rsid w:val="00BD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BBDDB9"/>
  <w15:chartTrackingRefBased/>
  <w15:docId w15:val="{218FA02B-D7A2-4518-BF33-3377C2AF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478"/>
  </w:style>
  <w:style w:type="paragraph" w:styleId="Ttulo1">
    <w:name w:val="heading 1"/>
    <w:basedOn w:val="Normal"/>
    <w:next w:val="Normal"/>
    <w:link w:val="Ttulo1Car"/>
    <w:uiPriority w:val="9"/>
    <w:qFormat/>
    <w:rsid w:val="00BC1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1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4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4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4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4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4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4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4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4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4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4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589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3</cp:revision>
  <dcterms:created xsi:type="dcterms:W3CDTF">2026-04-26T17:12:00Z</dcterms:created>
  <dcterms:modified xsi:type="dcterms:W3CDTF">2026-04-26T17:17:00Z</dcterms:modified>
</cp:coreProperties>
</file>