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B3D2" w14:textId="77777777" w:rsidR="004F5A4F" w:rsidRDefault="004F5A4F" w:rsidP="004F5A4F">
      <w:r>
        <w:t>EVOLUCIÓN SECTORIAL</w:t>
      </w:r>
    </w:p>
    <w:p w14:paraId="61734858" w14:textId="77777777" w:rsidR="004F5A4F" w:rsidRDefault="004F5A4F" w:rsidP="004F5A4F">
      <w:r>
        <w:t>Índice de la Producción Minera y de Hidrocarburos</w:t>
      </w:r>
    </w:p>
    <w:p w14:paraId="1EAB35A2" w14:textId="77777777" w:rsidR="004F5A4F" w:rsidRDefault="004F5A4F" w:rsidP="004F5A4F">
      <w:r>
        <w:t>Año base 2007</w:t>
      </w:r>
    </w:p>
    <w:p w14:paraId="56C603AD" w14:textId="44DD2111" w:rsidR="00A73387" w:rsidRDefault="00A73387" w:rsidP="00A73387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aumento de 1,78% en</w:t>
      </w:r>
      <w:r>
        <w:t xml:space="preserve"> </w:t>
      </w:r>
      <w:r>
        <w:t>agosto 2025, por el desempeño positivo del</w:t>
      </w:r>
      <w:r>
        <w:t xml:space="preserve"> </w:t>
      </w:r>
      <w:r>
        <w:t>subsector minero metálico en 0,87%, ante el</w:t>
      </w:r>
      <w:r>
        <w:t xml:space="preserve"> </w:t>
      </w:r>
      <w:r>
        <w:t>mayor nivel de producción de zinc, oro y hierro,</w:t>
      </w:r>
      <w:r>
        <w:t xml:space="preserve"> </w:t>
      </w:r>
      <w:r>
        <w:t>principalmente; y del subsector hidrocarburos</w:t>
      </w:r>
      <w:r>
        <w:t xml:space="preserve"> </w:t>
      </w:r>
      <w:r>
        <w:t>en 8,31% por el mayor volumen de extracción</w:t>
      </w:r>
      <w:r>
        <w:t xml:space="preserve"> </w:t>
      </w:r>
      <w:r>
        <w:t>de petróleo crudo, gas natural y de líquidos de</w:t>
      </w:r>
      <w:r>
        <w:t xml:space="preserve"> </w:t>
      </w:r>
      <w:r>
        <w:t>gas natural.</w:t>
      </w:r>
    </w:p>
    <w:p w14:paraId="7A7C93D2" w14:textId="63124597" w:rsidR="004F5A4F" w:rsidRDefault="00A73387" w:rsidP="00A73387">
      <w:pPr>
        <w:pStyle w:val="Prrafodelista"/>
        <w:numPr>
          <w:ilvl w:val="0"/>
          <w:numId w:val="1"/>
        </w:numPr>
        <w:jc w:val="both"/>
      </w:pPr>
      <w:r>
        <w:t>El comportamiento ascendente de la actividad</w:t>
      </w:r>
      <w:r>
        <w:t xml:space="preserve"> </w:t>
      </w:r>
      <w:r>
        <w:t>minera metálica en agosto 2025 se sustentó</w:t>
      </w:r>
      <w:r>
        <w:t xml:space="preserve"> </w:t>
      </w:r>
      <w:r>
        <w:t>en el mayor tonelaje procesado en las plantas</w:t>
      </w:r>
      <w:r>
        <w:t xml:space="preserve"> </w:t>
      </w:r>
      <w:r>
        <w:t>de concentración, debido al minado en zonas</w:t>
      </w:r>
      <w:r>
        <w:t xml:space="preserve"> </w:t>
      </w:r>
      <w:r>
        <w:t>de alta ley de mineral y una tasa superior de</w:t>
      </w:r>
      <w:r>
        <w:t xml:space="preserve"> </w:t>
      </w:r>
      <w:r>
        <w:t>recuperación metalúrgica</w:t>
      </w:r>
      <w:r w:rsidR="004F5A4F">
        <w:t>.</w:t>
      </w:r>
    </w:p>
    <w:p w14:paraId="183FE6FD" w14:textId="77777777" w:rsidR="004F5A4F" w:rsidRDefault="004F5A4F" w:rsidP="004F5A4F">
      <w:pPr>
        <w:jc w:val="both"/>
      </w:pPr>
      <w:r w:rsidRPr="00963670">
        <w:t>Variación interanual del Índice de la Producción Minera y de Hidrocarburos</w:t>
      </w:r>
    </w:p>
    <w:p w14:paraId="6FEC85C1" w14:textId="00BD8F1B" w:rsidR="00A73387" w:rsidRDefault="00A73387" w:rsidP="00A73387">
      <w:pPr>
        <w:jc w:val="both"/>
      </w:pPr>
      <w:r>
        <w:t>En agosto 2025, la variación de 1,78% fue explicada</w:t>
      </w:r>
      <w:r>
        <w:t xml:space="preserve"> </w:t>
      </w:r>
      <w:r>
        <w:t>por la evolución ascendente del subsector</w:t>
      </w:r>
      <w:r>
        <w:t xml:space="preserve"> </w:t>
      </w:r>
      <w:r>
        <w:t>hidrocarburos en 8,31% con una contribución de</w:t>
      </w:r>
      <w:r>
        <w:t xml:space="preserve"> </w:t>
      </w:r>
      <w:r>
        <w:t>1,01 puntos porcentuales en el índice sectorial; y de</w:t>
      </w:r>
      <w:r>
        <w:t xml:space="preserve"> </w:t>
      </w:r>
      <w:r>
        <w:t>la actividad minera metálica en 0,87% con un aporte</w:t>
      </w:r>
      <w:r>
        <w:t xml:space="preserve"> </w:t>
      </w:r>
      <w:r>
        <w:t>de 0,77 puntos porcentuales al total.</w:t>
      </w:r>
    </w:p>
    <w:p w14:paraId="08BCEF5F" w14:textId="2AC23CF2" w:rsidR="00A73387" w:rsidRDefault="00A73387" w:rsidP="00A73387">
      <w:pPr>
        <w:jc w:val="both"/>
      </w:pPr>
      <w:r>
        <w:t>La producción de hidrocarburos se expandió en</w:t>
      </w:r>
      <w:r>
        <w:t xml:space="preserve"> </w:t>
      </w:r>
      <w:r>
        <w:t>8,31%, como resultado de la mayor extracción de</w:t>
      </w:r>
      <w:r>
        <w:t xml:space="preserve"> </w:t>
      </w:r>
      <w:r>
        <w:t>petróleo crudo en 13,44%, gas natural 8,49% y de</w:t>
      </w:r>
      <w:r>
        <w:t xml:space="preserve"> </w:t>
      </w:r>
      <w:r>
        <w:t>líquidos de gas natural en 5,09%.</w:t>
      </w:r>
    </w:p>
    <w:p w14:paraId="0AF6C73B" w14:textId="788EEAC1" w:rsidR="004F5A4F" w:rsidRDefault="00A73387" w:rsidP="00A73387">
      <w:pPr>
        <w:jc w:val="both"/>
      </w:pPr>
      <w:r>
        <w:t>La minería metálica creció en 0,87% por el mayor</w:t>
      </w:r>
      <w:r>
        <w:t xml:space="preserve"> </w:t>
      </w:r>
      <w:r>
        <w:t>volumen de producción de zinc en 29,25%, oro</w:t>
      </w:r>
      <w:r>
        <w:t xml:space="preserve"> </w:t>
      </w:r>
      <w:r>
        <w:t>8,10%, hierro 7,61%, plata 2,07%, plomo 1,47%</w:t>
      </w:r>
      <w:r>
        <w:t xml:space="preserve"> </w:t>
      </w:r>
      <w:r>
        <w:t>y de estaño en 3,62%; sin embargo, disminuyó la</w:t>
      </w:r>
      <w:r>
        <w:t xml:space="preserve"> </w:t>
      </w:r>
      <w:r>
        <w:t>producción de molibdeno en -20,69% y de cobre</w:t>
      </w:r>
      <w:r>
        <w:t xml:space="preserve"> </w:t>
      </w:r>
      <w:r>
        <w:t>en -2,03%.</w:t>
      </w:r>
      <w:r w:rsidR="004F5A4F">
        <w:br w:type="page"/>
      </w:r>
    </w:p>
    <w:p w14:paraId="3845E7AB" w14:textId="0266E010" w:rsidR="004F5A4F" w:rsidRDefault="004F5A4F" w:rsidP="004F5A4F">
      <w:pPr>
        <w:jc w:val="both"/>
      </w:pPr>
      <w:r w:rsidRPr="00892C6D">
        <w:lastRenderedPageBreak/>
        <w:t xml:space="preserve">Producción Sectorial: </w:t>
      </w:r>
      <w:r w:rsidR="00A73387">
        <w:t>Agosto</w:t>
      </w:r>
      <w:r w:rsidRPr="00892C6D">
        <w:t xml:space="preserve"> 2025</w:t>
      </w:r>
    </w:p>
    <w:p w14:paraId="6CD55EAA" w14:textId="77777777" w:rsidR="004F5A4F" w:rsidRDefault="004F5A4F" w:rsidP="004F5A4F">
      <w:pPr>
        <w:jc w:val="both"/>
      </w:pPr>
      <w:r w:rsidRPr="00FC1E19">
        <w:t>Sector Minería e Hidrocarburos</w:t>
      </w:r>
    </w:p>
    <w:p w14:paraId="509D8DE7" w14:textId="3FE2CD85" w:rsidR="004F5A4F" w:rsidRDefault="00A73387" w:rsidP="00A73387">
      <w:pPr>
        <w:jc w:val="both"/>
      </w:pPr>
      <w:r>
        <w:t>El sector minería e hidrocarburos</w:t>
      </w:r>
      <w:r>
        <w:t xml:space="preserve"> </w:t>
      </w:r>
      <w:r>
        <w:t>en agosto de 2025 creció en</w:t>
      </w:r>
      <w:r>
        <w:t xml:space="preserve"> </w:t>
      </w:r>
      <w:r>
        <w:t>1,78%, con referencia al nivel</w:t>
      </w:r>
      <w:r>
        <w:t xml:space="preserve"> </w:t>
      </w:r>
      <w:r>
        <w:t>de producción de similar mes</w:t>
      </w:r>
      <w:r>
        <w:t xml:space="preserve"> </w:t>
      </w:r>
      <w:r>
        <w:t>del 2024, manteniendo con ello</w:t>
      </w:r>
      <w:r>
        <w:t xml:space="preserve"> </w:t>
      </w:r>
      <w:r>
        <w:t>evolución positiva por tres meses</w:t>
      </w:r>
      <w:r>
        <w:t xml:space="preserve"> </w:t>
      </w:r>
      <w:r>
        <w:t>continuos; hubo desempeño</w:t>
      </w:r>
      <w:r>
        <w:t xml:space="preserve"> </w:t>
      </w:r>
      <w:r>
        <w:t>positivo de la actividad minería</w:t>
      </w:r>
      <w:r>
        <w:t xml:space="preserve"> </w:t>
      </w:r>
      <w:r>
        <w:t>metálica en 0,87%, impulsada por</w:t>
      </w:r>
      <w:r>
        <w:t xml:space="preserve"> </w:t>
      </w:r>
      <w:r>
        <w:t>el incremento en los volúmenes de</w:t>
      </w:r>
      <w:r>
        <w:t xml:space="preserve"> </w:t>
      </w:r>
      <w:r>
        <w:t>producción de zinc, oro y hierro,</w:t>
      </w:r>
      <w:r>
        <w:t xml:space="preserve"> </w:t>
      </w:r>
      <w:r>
        <w:t>principalmente; así como del</w:t>
      </w:r>
      <w:r>
        <w:t xml:space="preserve"> </w:t>
      </w:r>
      <w:r>
        <w:t>subsector de hidrocarburos en</w:t>
      </w:r>
      <w:r>
        <w:t xml:space="preserve"> </w:t>
      </w:r>
      <w:r>
        <w:t>8,31%, sobre la base de la mayor explotación de petróleo crudo, gas natural y de líquidos de gas natural</w:t>
      </w:r>
      <w:r w:rsidR="004F5A4F">
        <w:t>.</w:t>
      </w:r>
    </w:p>
    <w:p w14:paraId="4759B15B" w14:textId="443C5FFC" w:rsidR="004F5A4F" w:rsidRDefault="00A73387" w:rsidP="00A73387">
      <w:pPr>
        <w:jc w:val="both"/>
      </w:pPr>
      <w:r>
        <w:t>La minería metálica (0,87%) en agosto de 2025 aumentó por tercer mes consecutivo, sustentada en</w:t>
      </w:r>
      <w:r>
        <w:t xml:space="preserve"> </w:t>
      </w:r>
      <w:r>
        <w:t>los mayores niveles de producción de zinc (29,25%) y oro (8,10%), con un aporte total de 3,25 puntos</w:t>
      </w:r>
      <w:r>
        <w:t xml:space="preserve"> </w:t>
      </w:r>
      <w:r>
        <w:t>porcentuales al resultado consolidado del sector, secundada en menor magnitud por las alzas en la</w:t>
      </w:r>
      <w:r>
        <w:t xml:space="preserve"> </w:t>
      </w:r>
      <w:r>
        <w:t>producción de hierro (7,61%), plata (2,07%), plomo (1,47%) y de estaño (3,62%), los cuatro metales con</w:t>
      </w:r>
      <w:r>
        <w:t xml:space="preserve"> </w:t>
      </w:r>
      <w:r>
        <w:t>una contribución de 0,36 puntos porcentuales; situación atenuada por la disminución en los volúmenes</w:t>
      </w:r>
      <w:r>
        <w:t xml:space="preserve"> </w:t>
      </w:r>
      <w:r>
        <w:t>de producción de molibdeno (-20,69%) y de cobre (-2,03%), ambos productos con una incidencia negativa</w:t>
      </w:r>
      <w:r>
        <w:t xml:space="preserve"> </w:t>
      </w:r>
      <w:r>
        <w:t>de 2,84 puntos porcentuales</w:t>
      </w:r>
      <w:r w:rsidR="004F5A4F">
        <w:t>.</w:t>
      </w:r>
    </w:p>
    <w:p w14:paraId="56F5D31D" w14:textId="2E11A811" w:rsidR="004F5A4F" w:rsidRDefault="00A73387" w:rsidP="00A73387">
      <w:pPr>
        <w:jc w:val="both"/>
      </w:pPr>
      <w:r>
        <w:t>El subsector de hidrocarburos en agosto de 2025 registró una expansión de 8,31% y permaneció en alza</w:t>
      </w:r>
      <w:r>
        <w:t xml:space="preserve"> </w:t>
      </w:r>
      <w:r>
        <w:t>por segundo mes consecutivo, determinado por la mayor explotación de los tres recursos componentes,</w:t>
      </w:r>
      <w:r>
        <w:t xml:space="preserve"> </w:t>
      </w:r>
      <w:r>
        <w:t>petróleo crudo en 13,44%, gas natural 8,49% y líquidos de gas natural en 5,09%, con un aporte total de</w:t>
      </w:r>
      <w:r>
        <w:t xml:space="preserve"> </w:t>
      </w:r>
      <w:r>
        <w:t>1,01 puntos porcentuales al desempeño global del sector</w:t>
      </w:r>
      <w:r w:rsidR="004F5A4F" w:rsidRPr="00FC1E19">
        <w:t>.</w:t>
      </w:r>
    </w:p>
    <w:p w14:paraId="2FB0DE52" w14:textId="77777777" w:rsidR="004F5A4F" w:rsidRDefault="004F5A4F" w:rsidP="004F5A4F">
      <w:pPr>
        <w:jc w:val="both"/>
      </w:pPr>
      <w:r>
        <w:br w:type="page"/>
      </w:r>
    </w:p>
    <w:p w14:paraId="43445CEE" w14:textId="4BA5D624" w:rsidR="00A73387" w:rsidRDefault="00A73387" w:rsidP="004F5A4F">
      <w:pPr>
        <w:jc w:val="both"/>
      </w:pPr>
      <w:r w:rsidRPr="00A73387">
        <w:lastRenderedPageBreak/>
        <w:t>Producción Sectorial: Enero-Agosto 2025</w:t>
      </w:r>
    </w:p>
    <w:p w14:paraId="54F26608" w14:textId="77777777" w:rsidR="004F5A4F" w:rsidRDefault="004F5A4F" w:rsidP="004F5A4F">
      <w:pPr>
        <w:jc w:val="both"/>
      </w:pPr>
      <w:r w:rsidRPr="00AA60AE">
        <w:t>Sector Minería e Hidrocarburos</w:t>
      </w:r>
    </w:p>
    <w:p w14:paraId="5AFB6E4C" w14:textId="08629E8E" w:rsidR="00A73387" w:rsidRDefault="00A73387" w:rsidP="00A73387">
      <w:pPr>
        <w:jc w:val="both"/>
      </w:pPr>
      <w:r>
        <w:t>El sector minería e hidrocarburos, en el periodo enero - agosto de 2025, registró un crecimiento acumulado</w:t>
      </w:r>
      <w:r>
        <w:t xml:space="preserve"> </w:t>
      </w:r>
      <w:r>
        <w:t>de 1,62%, como resultado del desempeño positivo de la actividad minera metálica en 2,09%, sustentado</w:t>
      </w:r>
      <w:r>
        <w:t xml:space="preserve"> </w:t>
      </w:r>
      <w:r>
        <w:t>en los mayores volúmenes de producción de zinc en 16,15% y cobre 2,66%, los dos metales con una</w:t>
      </w:r>
      <w:r>
        <w:t xml:space="preserve"> </w:t>
      </w:r>
      <w:r>
        <w:t>contribución de 2,78 puntos porcentuales al resultado global del sector, coadyuvado por los incrementos</w:t>
      </w:r>
      <w:r>
        <w:t xml:space="preserve"> </w:t>
      </w:r>
      <w:r>
        <w:t>en la producción de plata 7,41%, plomo 6,04% y de estaño 1,99% con un aporte total de 0,47 puntos</w:t>
      </w:r>
      <w:r>
        <w:t xml:space="preserve"> </w:t>
      </w:r>
      <w:r>
        <w:t>porcentuales; atenuada por la disminución en la producción de molibdeno (-8,27%), hierro (-18,86%) y</w:t>
      </w:r>
      <w:r>
        <w:t xml:space="preserve"> </w:t>
      </w:r>
      <w:r>
        <w:t>de oro (-1,38%), los tres productos con una incidencia negativa de 1,44 puntos porcentuales.</w:t>
      </w:r>
    </w:p>
    <w:p w14:paraId="6BE75E27" w14:textId="78CA83A7" w:rsidR="0034678C" w:rsidRDefault="00A73387" w:rsidP="00A73387">
      <w:pPr>
        <w:jc w:val="both"/>
      </w:pPr>
      <w:r>
        <w:t>Por otro lado, el subsector de hidrocarburos presentó una variación acumulada de -1,36% en el periodo</w:t>
      </w:r>
      <w:r>
        <w:t xml:space="preserve"> </w:t>
      </w:r>
      <w:r>
        <w:t>de referencia, debido al menor volumen de explotación de líquidos de gas natural (-8,52%) y de gas</w:t>
      </w:r>
      <w:r>
        <w:t xml:space="preserve"> </w:t>
      </w:r>
      <w:r>
        <w:t>natural (-3,61%), los dos recursos con una incidencia negativa de 0,65 puntos porcentuales a la evolución</w:t>
      </w:r>
      <w:r>
        <w:t xml:space="preserve"> </w:t>
      </w:r>
      <w:r>
        <w:t>consolidada del sector; en contraste, hubo mayor producción acumulada de petróleo crudo (13,40%) que</w:t>
      </w:r>
      <w:r>
        <w:t xml:space="preserve"> </w:t>
      </w:r>
      <w:r>
        <w:t>contribuyó con 0,47 puntos porcentuales.</w:t>
      </w:r>
    </w:p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4F"/>
    <w:rsid w:val="00344F53"/>
    <w:rsid w:val="0034678C"/>
    <w:rsid w:val="004F5A4F"/>
    <w:rsid w:val="00A73387"/>
    <w:rsid w:val="00BD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8A65EF"/>
  <w15:chartTrackingRefBased/>
  <w15:docId w15:val="{32B7D91F-D5E4-4D8E-91E3-CC62D1BC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A4F"/>
  </w:style>
  <w:style w:type="paragraph" w:styleId="Ttulo1">
    <w:name w:val="heading 1"/>
    <w:basedOn w:val="Normal"/>
    <w:next w:val="Normal"/>
    <w:link w:val="Ttulo1Car"/>
    <w:uiPriority w:val="9"/>
    <w:qFormat/>
    <w:rsid w:val="004F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657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2026-04-26T16:30:00Z</dcterms:created>
  <dcterms:modified xsi:type="dcterms:W3CDTF">2026-04-26T16:50:00Z</dcterms:modified>
</cp:coreProperties>
</file>