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C405B" w14:textId="77777777" w:rsidR="00F34F24" w:rsidRDefault="00F34F24" w:rsidP="00F34F24">
      <w:r>
        <w:t>EVOLUCIÓN SECTORIAL</w:t>
      </w:r>
    </w:p>
    <w:p w14:paraId="2F0DB901" w14:textId="77777777" w:rsidR="00F34F24" w:rsidRDefault="00F34F24" w:rsidP="00F34F24">
      <w:r>
        <w:t>Índice de la Producción Minera y de Hidrocarburos</w:t>
      </w:r>
    </w:p>
    <w:p w14:paraId="3C7F1BF4" w14:textId="77777777" w:rsidR="00F34F24" w:rsidRDefault="00F34F24" w:rsidP="00F34F24">
      <w:r>
        <w:t>Año base 2007</w:t>
      </w:r>
    </w:p>
    <w:p w14:paraId="11914C48" w14:textId="77777777" w:rsidR="00CE12EC" w:rsidRDefault="00CE12EC" w:rsidP="00F34F24">
      <w:pPr>
        <w:pStyle w:val="Prrafodelista"/>
        <w:numPr>
          <w:ilvl w:val="0"/>
          <w:numId w:val="1"/>
        </w:numPr>
        <w:jc w:val="both"/>
      </w:pPr>
      <w:r w:rsidRPr="00CE12EC">
        <w:t>El Índice de la Producción Minera y de Hidrocarburos registró contracción de 6,47% en noviembre 2025, por el comportamiento decreciente del subsector minero metálico en -6,16%, determinado principalmente por la menor producción de cobre; y del subsector hidrocarburos en -8,60%, debido al menor volumen registrado en sus componentes.</w:t>
      </w:r>
    </w:p>
    <w:p w14:paraId="39346C35" w14:textId="78B341C7" w:rsidR="00CE12EC" w:rsidRDefault="00CE12EC" w:rsidP="00F34F24">
      <w:pPr>
        <w:pStyle w:val="Prrafodelista"/>
        <w:numPr>
          <w:ilvl w:val="0"/>
          <w:numId w:val="1"/>
        </w:numPr>
        <w:jc w:val="both"/>
      </w:pPr>
      <w:r w:rsidRPr="00CE12EC">
        <w:t>La actividad minera metálica disminuyó principalmente por la baja registrada en la producción de cobre, por menor tonelaje procesado en las plantas de concentración de las compañías mineras más importantes del país.</w:t>
      </w:r>
    </w:p>
    <w:p w14:paraId="4B17518C" w14:textId="39547903" w:rsidR="00F34F24" w:rsidRDefault="00CE12EC" w:rsidP="00F34F24">
      <w:pPr>
        <w:pStyle w:val="Prrafodelista"/>
        <w:numPr>
          <w:ilvl w:val="0"/>
          <w:numId w:val="1"/>
        </w:numPr>
        <w:jc w:val="both"/>
      </w:pPr>
      <w:r w:rsidRPr="00CE12EC">
        <w:t>Similar tendencia mostró la producción de hidrocarburos, con bajas en petróleo, gas natural y líquidos de gas natural</w:t>
      </w:r>
      <w:r w:rsidR="00F34F24">
        <w:t>.</w:t>
      </w:r>
    </w:p>
    <w:p w14:paraId="58A05148" w14:textId="77777777" w:rsidR="00F34F24" w:rsidRDefault="00F34F24" w:rsidP="00F34F24">
      <w:pPr>
        <w:jc w:val="both"/>
      </w:pPr>
      <w:r w:rsidRPr="00963670">
        <w:t>Variación interanual del Índice de la Producción Minera y de Hidrocarburos</w:t>
      </w:r>
    </w:p>
    <w:p w14:paraId="010F3822" w14:textId="77777777" w:rsidR="00CE12EC" w:rsidRDefault="00CE12EC" w:rsidP="00F34F24">
      <w:pPr>
        <w:jc w:val="both"/>
      </w:pPr>
      <w:r w:rsidRPr="00CE12EC">
        <w:t>En noviembre 2025, la variación de -6,47% fue resultado de la menor actividad minera metálica en -6,16% con una incidencia de -5,36 puntos porcentuales en el índice global del sector; y de la menor producción de hidrocarburos en -8,60% con una incidencia de -1,12 puntos porcentuales en el total.</w:t>
      </w:r>
    </w:p>
    <w:p w14:paraId="728A22A4" w14:textId="5204110E" w:rsidR="00CE12EC" w:rsidRDefault="00CE12EC" w:rsidP="00F34F24">
      <w:pPr>
        <w:jc w:val="both"/>
      </w:pPr>
      <w:r w:rsidRPr="00CE12EC">
        <w:t xml:space="preserve">La producción minero metálica registró disminución de 6,16%, con baja destacada en la producción de cobre de -12,14%, seguida de molibdeno -7,30% y estaño -19,06%; sin embargo, la producción de zinc se incrementó en 13,67%, plomo 10,81%, hierro 5,59%, oro 0,43% y plata 0,03%. </w:t>
      </w:r>
    </w:p>
    <w:p w14:paraId="7D2C8645" w14:textId="367646E2" w:rsidR="00F34F24" w:rsidRDefault="00CE12EC" w:rsidP="00F34F24">
      <w:pPr>
        <w:jc w:val="both"/>
      </w:pPr>
      <w:r w:rsidRPr="00CE12EC">
        <w:t>La producción de hidrocarburos fue menor en 8,60%, como consecuencia de la menor extracción de petróleo crudo en -19,03%, gas natural -9,01% y líquidos de gas natural en -1,28%</w:t>
      </w:r>
      <w:r w:rsidR="00F34F24" w:rsidRPr="00963670">
        <w:t>.</w:t>
      </w:r>
      <w:r w:rsidR="00F34F24">
        <w:br w:type="page"/>
      </w:r>
    </w:p>
    <w:p w14:paraId="3027F396" w14:textId="1302055B" w:rsidR="00F34F24" w:rsidRDefault="00CE12EC" w:rsidP="00F34F24">
      <w:pPr>
        <w:jc w:val="both"/>
      </w:pPr>
      <w:r w:rsidRPr="00CE12EC">
        <w:lastRenderedPageBreak/>
        <w:t>Producción Sectorial: Noviembre 2025</w:t>
      </w:r>
      <w:r w:rsidR="00F34F24" w:rsidRPr="00F544F5">
        <w:t xml:space="preserve"> </w:t>
      </w:r>
    </w:p>
    <w:p w14:paraId="07B89856" w14:textId="77777777" w:rsidR="00F34F24" w:rsidRDefault="00F34F24" w:rsidP="00F34F24">
      <w:pPr>
        <w:jc w:val="both"/>
      </w:pPr>
      <w:r w:rsidRPr="00FC1E19">
        <w:t>Sector Minería e Hidrocarburos</w:t>
      </w:r>
    </w:p>
    <w:p w14:paraId="4FB8E2B9" w14:textId="4C9B1D1A" w:rsidR="00F34F24" w:rsidRDefault="00CE12EC" w:rsidP="00F34F24">
      <w:pPr>
        <w:jc w:val="both"/>
      </w:pPr>
      <w:r w:rsidRPr="00CE12EC">
        <w:t>El sector minería e hidrocarburos en noviembre de 2025 se contrajo en 6,47%, en comparación con el nivel de producción de similar mes de 2024, ante el desempeño negativo de la actividad minera metálica en -6,16%, sobre la base de los volúmenes inferiores de producción de cobre, molibdeno y estaño; así como la reducción del subsector de hidrocarburos en -8,60%, determinado por la menor explotación de petróleo crudo, gas natural y líquidos de gas natural</w:t>
      </w:r>
      <w:r w:rsidR="00F34F24" w:rsidRPr="00FC1E19">
        <w:t>.</w:t>
      </w:r>
    </w:p>
    <w:p w14:paraId="02DEB7FD" w14:textId="74CD3AA7" w:rsidR="00F34F24" w:rsidRDefault="00CE12EC" w:rsidP="00F34F24">
      <w:pPr>
        <w:jc w:val="both"/>
      </w:pPr>
      <w:r w:rsidRPr="00CE12EC">
        <w:t>La minería metálica registró disminución de 6,16%, determinada por los menores niveles de producción de cobre (-12,14%), molibdeno (-7,30%) y estaño (-19,06%), con una incidencia negativa de 6,89 puntos porcentuales en el resultado del sector, atenuado parcialmente por el incremento en el volumen de producción de zinc (13,67%), plomo (10,81%), hierro (5,59%), oro (0,43%) y plata (0,03%), cuya incidencia conjunta fue de 1,53 puntos porcentuales</w:t>
      </w:r>
      <w:r w:rsidR="00F34F24" w:rsidRPr="00FC1E19">
        <w:t>.</w:t>
      </w:r>
    </w:p>
    <w:p w14:paraId="35452427" w14:textId="16BE5B9C" w:rsidR="00F34F24" w:rsidRDefault="00CE12EC" w:rsidP="00F34F24">
      <w:pPr>
        <w:jc w:val="both"/>
      </w:pPr>
      <w:r w:rsidRPr="00CE12EC">
        <w:t>El subsector de hidrocarburos registró contracción de 8,60% en noviembre de 2025, como consecuencia de la menor extracción de petróleo crudo (-19,03%), gas natural (-9,01%) y líquidos de gas natural (-1,28%), que en conjunto incidieron en -1,12 puntos porcentuales a la variación del sector</w:t>
      </w:r>
      <w:r w:rsidR="00F34F24" w:rsidRPr="00FC1E19">
        <w:t>.</w:t>
      </w:r>
    </w:p>
    <w:p w14:paraId="3888AB56" w14:textId="77777777" w:rsidR="00F34F24" w:rsidRDefault="00F34F24" w:rsidP="00F34F24">
      <w:pPr>
        <w:jc w:val="both"/>
      </w:pPr>
      <w:r>
        <w:br w:type="page"/>
      </w:r>
    </w:p>
    <w:p w14:paraId="131FEF0D" w14:textId="215F6069" w:rsidR="00CE12EC" w:rsidRDefault="00CE12EC" w:rsidP="00F34F24">
      <w:pPr>
        <w:jc w:val="both"/>
      </w:pPr>
      <w:r w:rsidRPr="00CE12EC">
        <w:lastRenderedPageBreak/>
        <w:t>Producción Sectorial: Enero-Noviembre 2025</w:t>
      </w:r>
    </w:p>
    <w:p w14:paraId="226CB5AB" w14:textId="77777777" w:rsidR="00F34F24" w:rsidRDefault="00F34F24" w:rsidP="00F34F24">
      <w:pPr>
        <w:jc w:val="both"/>
      </w:pPr>
      <w:r w:rsidRPr="00AA60AE">
        <w:t>Sector Minería e Hidrocarburos</w:t>
      </w:r>
    </w:p>
    <w:p w14:paraId="3F821DE3" w14:textId="12EF7D08" w:rsidR="00F34F24" w:rsidRDefault="00CE12EC" w:rsidP="00F34F24">
      <w:pPr>
        <w:jc w:val="both"/>
      </w:pPr>
      <w:r w:rsidRPr="00CE12EC">
        <w:t>El sector minería e hidrocarburos, en el periodo enero – noviembre de 2025, registró un crecimiento de 1,81%, sustentado en el desempeño positivo de la actividad minera metálica en 2,29%, ante los mayores volúmenes de producción de zinc en 18,33%, cobre 1,42% y plata en 7,96%, con un aporte conjunto de 2,66 puntos porcentuales al resultado global del sector, coadyuvado por los incrementos en la producción acumulada de oro en 3,08%, plomo 7,52% y estaño en 3,28%, con una contribución total de 0,46 puntos porcentuales; contrarrestado por la variación acumulada negativa en la producción de molibdeno (-8,36%) y de hierro (-12,82%), ambos productos con una incidencia negativa de 1,13 puntos porcentuales</w:t>
      </w:r>
      <w:r w:rsidR="00F34F24" w:rsidRPr="00AA60AE">
        <w:t xml:space="preserve">. </w:t>
      </w:r>
    </w:p>
    <w:p w14:paraId="7DC17337" w14:textId="597D09F0" w:rsidR="00F34F24" w:rsidRDefault="00CE12EC" w:rsidP="00F34F24">
      <w:pPr>
        <w:jc w:val="both"/>
      </w:pPr>
      <w:r w:rsidRPr="00CE12EC">
        <w:t>Por otro lado, el subsector de hidrocarburos presentó disminución de 1,35% en el periodo de referencia, debido al menor volumen de explotación de líquidos de gas natural (-6,44%) y de gas natural (-4,31%), ambos recursos con una incidencia negativa conjunta de 0,54 puntos porcentuales en la evolución total del sector; mientras que, registró incremento la producción de petróleo crudo (10,85%) contribuyendo con 0,36 puntos porcentuales</w:t>
      </w:r>
      <w:r w:rsidR="00F34F24" w:rsidRPr="00AA60AE">
        <w:t>.</w:t>
      </w:r>
    </w:p>
    <w:p w14:paraId="10E66770" w14:textId="77777777" w:rsidR="0034678C" w:rsidRDefault="0034678C"/>
    <w:sectPr w:rsidR="0034678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581F5E"/>
    <w:multiLevelType w:val="hybridMultilevel"/>
    <w:tmpl w:val="141A8A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05022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F24"/>
    <w:rsid w:val="00344F53"/>
    <w:rsid w:val="0034678C"/>
    <w:rsid w:val="00BD32AE"/>
    <w:rsid w:val="00CE12EC"/>
    <w:rsid w:val="00F34F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8CC92"/>
  <w15:chartTrackingRefBased/>
  <w15:docId w15:val="{654E6869-CD1D-4955-A4A8-EED3DBE40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F24"/>
  </w:style>
  <w:style w:type="paragraph" w:styleId="Ttulo1">
    <w:name w:val="heading 1"/>
    <w:basedOn w:val="Normal"/>
    <w:next w:val="Normal"/>
    <w:link w:val="Ttulo1Car"/>
    <w:uiPriority w:val="9"/>
    <w:qFormat/>
    <w:rsid w:val="00F34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4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4F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4F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4F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4F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4F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4F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4F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4F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4F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4F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4F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4F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4F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4F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4F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4F24"/>
    <w:rPr>
      <w:rFonts w:eastAsiaTheme="majorEastAsia" w:cstheme="majorBidi"/>
      <w:color w:val="272727" w:themeColor="text1" w:themeTint="D8"/>
    </w:rPr>
  </w:style>
  <w:style w:type="paragraph" w:styleId="Ttulo">
    <w:name w:val="Title"/>
    <w:basedOn w:val="Normal"/>
    <w:next w:val="Normal"/>
    <w:link w:val="TtuloCar"/>
    <w:uiPriority w:val="10"/>
    <w:qFormat/>
    <w:rsid w:val="00F34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4F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4F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4F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4F24"/>
    <w:pPr>
      <w:spacing w:before="160"/>
      <w:jc w:val="center"/>
    </w:pPr>
    <w:rPr>
      <w:i/>
      <w:iCs/>
      <w:color w:val="404040" w:themeColor="text1" w:themeTint="BF"/>
    </w:rPr>
  </w:style>
  <w:style w:type="character" w:customStyle="1" w:styleId="CitaCar">
    <w:name w:val="Cita Car"/>
    <w:basedOn w:val="Fuentedeprrafopredeter"/>
    <w:link w:val="Cita"/>
    <w:uiPriority w:val="29"/>
    <w:rsid w:val="00F34F24"/>
    <w:rPr>
      <w:i/>
      <w:iCs/>
      <w:color w:val="404040" w:themeColor="text1" w:themeTint="BF"/>
    </w:rPr>
  </w:style>
  <w:style w:type="paragraph" w:styleId="Prrafodelista">
    <w:name w:val="List Paragraph"/>
    <w:basedOn w:val="Normal"/>
    <w:uiPriority w:val="34"/>
    <w:qFormat/>
    <w:rsid w:val="00F34F24"/>
    <w:pPr>
      <w:ind w:left="720"/>
      <w:contextualSpacing/>
    </w:pPr>
  </w:style>
  <w:style w:type="character" w:styleId="nfasisintenso">
    <w:name w:val="Intense Emphasis"/>
    <w:basedOn w:val="Fuentedeprrafopredeter"/>
    <w:uiPriority w:val="21"/>
    <w:qFormat/>
    <w:rsid w:val="00F34F24"/>
    <w:rPr>
      <w:i/>
      <w:iCs/>
      <w:color w:val="0F4761" w:themeColor="accent1" w:themeShade="BF"/>
    </w:rPr>
  </w:style>
  <w:style w:type="paragraph" w:styleId="Citadestacada">
    <w:name w:val="Intense Quote"/>
    <w:basedOn w:val="Normal"/>
    <w:next w:val="Normal"/>
    <w:link w:val="CitadestacadaCar"/>
    <w:uiPriority w:val="30"/>
    <w:qFormat/>
    <w:rsid w:val="00F34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4F24"/>
    <w:rPr>
      <w:i/>
      <w:iCs/>
      <w:color w:val="0F4761" w:themeColor="accent1" w:themeShade="BF"/>
    </w:rPr>
  </w:style>
  <w:style w:type="character" w:styleId="Referenciaintensa">
    <w:name w:val="Intense Reference"/>
    <w:basedOn w:val="Fuentedeprrafopredeter"/>
    <w:uiPriority w:val="32"/>
    <w:qFormat/>
    <w:rsid w:val="00F34F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FFFFFF"/>
      </a:dk1>
      <a:lt1>
        <a:sysClr val="window" lastClr="2D3236"/>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627</Words>
  <Characters>3449</Characters>
  <Application>Microsoft Office Word</Application>
  <DocSecurity>0</DocSecurity>
  <Lines>28</Lines>
  <Paragraphs>8</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dc:creator>
  <cp:keywords/>
  <dc:description/>
  <cp:lastModifiedBy>JC</cp:lastModifiedBy>
  <cp:revision>2</cp:revision>
  <dcterms:created xsi:type="dcterms:W3CDTF">2026-04-26T15:52:00Z</dcterms:created>
  <dcterms:modified xsi:type="dcterms:W3CDTF">2026-04-26T16:07:00Z</dcterms:modified>
</cp:coreProperties>
</file>