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D21A3" w14:textId="77777777" w:rsidR="00963670" w:rsidRPr="00592031" w:rsidRDefault="00963670" w:rsidP="00963670">
      <w:pPr>
        <w:rPr>
          <w:highlight w:val="cyan"/>
        </w:rPr>
      </w:pPr>
      <w:r w:rsidRPr="00592031">
        <w:rPr>
          <w:highlight w:val="cyan"/>
        </w:rPr>
        <w:t>EVOLUCIÓN SECTORIAL</w:t>
      </w:r>
    </w:p>
    <w:p w14:paraId="6999CBF2" w14:textId="4A17D787" w:rsidR="00963670" w:rsidRPr="00592031" w:rsidRDefault="00963670" w:rsidP="00963670">
      <w:pPr>
        <w:rPr>
          <w:highlight w:val="cyan"/>
        </w:rPr>
      </w:pPr>
      <w:r w:rsidRPr="00592031">
        <w:rPr>
          <w:highlight w:val="cyan"/>
        </w:rPr>
        <w:t>Índice de la Producción Minera y de Hidrocarburos</w:t>
      </w:r>
    </w:p>
    <w:p w14:paraId="48787645" w14:textId="4C31EFDC" w:rsidR="0034678C" w:rsidRPr="00592031" w:rsidRDefault="00963670" w:rsidP="00963670">
      <w:pPr>
        <w:rPr>
          <w:highlight w:val="cyan"/>
        </w:rPr>
      </w:pPr>
      <w:r w:rsidRPr="00592031">
        <w:rPr>
          <w:highlight w:val="cyan"/>
        </w:rPr>
        <w:t>Año base 2007</w:t>
      </w:r>
    </w:p>
    <w:p w14:paraId="39139E5C" w14:textId="77777777" w:rsidR="00963670" w:rsidRPr="00592031" w:rsidRDefault="00963670" w:rsidP="00963670">
      <w:pPr>
        <w:pStyle w:val="Prrafodelista"/>
        <w:numPr>
          <w:ilvl w:val="0"/>
          <w:numId w:val="1"/>
        </w:numPr>
        <w:jc w:val="both"/>
        <w:rPr>
          <w:highlight w:val="cyan"/>
        </w:rPr>
      </w:pPr>
      <w:r w:rsidRPr="00592031">
        <w:rPr>
          <w:highlight w:val="cyan"/>
        </w:rPr>
        <w:t>El Índice de la Producción Minera y de Hidrocarburos registró disminución de 1,11% en febrero 2026, determinado por el comportamiento decreciente del subsector hidrocarburos en -9,73%, con reportes a la baja de petróleo, líquidos de gas natural y gas natural.</w:t>
      </w:r>
    </w:p>
    <w:p w14:paraId="0FB1B65D" w14:textId="40AEF089" w:rsidR="00963670" w:rsidRPr="00592031" w:rsidRDefault="00963670" w:rsidP="00963670">
      <w:pPr>
        <w:pStyle w:val="Prrafodelista"/>
        <w:numPr>
          <w:ilvl w:val="0"/>
          <w:numId w:val="1"/>
        </w:numPr>
        <w:jc w:val="both"/>
        <w:rPr>
          <w:highlight w:val="cyan"/>
        </w:rPr>
      </w:pPr>
      <w:r w:rsidRPr="00592031">
        <w:rPr>
          <w:highlight w:val="cyan"/>
        </w:rPr>
        <w:t>En contraste, la actividad minera metálica presentó un avance de 0,13%, explicado fundamentalmente por la mayor producción de cobre y hierro. Este resultado se sustentó en el mayor tonelaje procesado en las plantas de concentración de las principales compañías mineras del país.</w:t>
      </w:r>
    </w:p>
    <w:p w14:paraId="6A51C98F" w14:textId="16B0F3F9" w:rsidR="00963670" w:rsidRPr="00592031" w:rsidRDefault="00963670" w:rsidP="00963670">
      <w:pPr>
        <w:jc w:val="both"/>
        <w:rPr>
          <w:highlight w:val="cyan"/>
        </w:rPr>
      </w:pPr>
      <w:r w:rsidRPr="00592031">
        <w:rPr>
          <w:highlight w:val="cyan"/>
        </w:rPr>
        <w:t>Variación interanual del Índice de la Producción Minera y de Hidrocarburos</w:t>
      </w:r>
    </w:p>
    <w:p w14:paraId="7050D20C" w14:textId="77777777" w:rsidR="00963670" w:rsidRPr="00592031" w:rsidRDefault="00963670" w:rsidP="00963670">
      <w:pPr>
        <w:jc w:val="both"/>
        <w:rPr>
          <w:highlight w:val="cyan"/>
        </w:rPr>
      </w:pPr>
      <w:r w:rsidRPr="00592031">
        <w:rPr>
          <w:highlight w:val="cyan"/>
        </w:rPr>
        <w:t xml:space="preserve">En febrero 2026, la variación de -1,11% fue producto de la menor producción de hidrocarburos en -9,73% con una incidencia de -1,22 puntos porcentuales en el índice sectorial; sin embargo, la actividad minera metálica aumentó en 0,13% con un aporte de 0,11 puntos porcentuales al total. </w:t>
      </w:r>
    </w:p>
    <w:p w14:paraId="2B2999F9" w14:textId="77777777" w:rsidR="00963670" w:rsidRPr="00592031" w:rsidRDefault="00963670" w:rsidP="00963670">
      <w:pPr>
        <w:jc w:val="both"/>
        <w:rPr>
          <w:highlight w:val="cyan"/>
        </w:rPr>
      </w:pPr>
      <w:r w:rsidRPr="00592031">
        <w:rPr>
          <w:highlight w:val="cyan"/>
        </w:rPr>
        <w:t xml:space="preserve">El subsector hidrocarburos se contrajo en 9,73%, como consecuencia del menor volumen registrado de petróleo crudo en -24,32%, líquidos de gas natural -6,18% y gas natural en -0,45%. </w:t>
      </w:r>
    </w:p>
    <w:p w14:paraId="237DBB1E" w14:textId="4AB3604B" w:rsidR="00FC1E19" w:rsidRDefault="00963670" w:rsidP="00963670">
      <w:pPr>
        <w:jc w:val="both"/>
      </w:pPr>
      <w:r w:rsidRPr="00592031">
        <w:rPr>
          <w:highlight w:val="cyan"/>
        </w:rPr>
        <w:t>El subsector minero metálico registró incremento de 0,13%, ante la mayor producción de cobre en 2,57%, hierro 1,48%, oro 0,15% y estaño en 0,51%; mientras que, la producción de molibdeno reportó variación de -9,63%, plata -2,65%, plomo -7,71% y zinc -1,06%.</w:t>
      </w:r>
      <w:r w:rsidR="00FC1E19">
        <w:br w:type="page"/>
      </w:r>
    </w:p>
    <w:p w14:paraId="27981345" w14:textId="0E15AD7A" w:rsidR="00FC1E19" w:rsidRDefault="00FC1E19" w:rsidP="00FC1E19">
      <w:pPr>
        <w:jc w:val="both"/>
      </w:pPr>
      <w:r w:rsidRPr="00F544F5">
        <w:lastRenderedPageBreak/>
        <w:t xml:space="preserve">Producción Sectorial: </w:t>
      </w:r>
      <w:r w:rsidR="0022451B">
        <w:t>Mazo</w:t>
      </w:r>
      <w:r w:rsidRPr="00F544F5">
        <w:t xml:space="preserve"> 2026 </w:t>
      </w:r>
    </w:p>
    <w:p w14:paraId="5E81F2BD" w14:textId="5ED660A8" w:rsidR="00963670" w:rsidRDefault="00FC1E19" w:rsidP="00963670">
      <w:pPr>
        <w:jc w:val="both"/>
      </w:pPr>
      <w:r w:rsidRPr="00FC1E19">
        <w:t>Sector Minería e Hidrocarburos</w:t>
      </w:r>
    </w:p>
    <w:p w14:paraId="1D3D1885" w14:textId="76B8F58F" w:rsidR="00FC1E19" w:rsidRDefault="0022451B" w:rsidP="00963670">
      <w:pPr>
        <w:jc w:val="both"/>
      </w:pPr>
      <w:r w:rsidRPr="0022451B">
        <w:t>El sector minería e hidrocarburos registró en marzo de 2026 una contracción de 5,00% respecto al mismo mes del año anterior, manteniendo un comportamiento negativo por segundo mes consecutivo, explicado principalmente por la significativa caída del subsector hidrocarburos de 35,41%, asociado a la menor producción de líquidos de gas natural, gas natural y petróleo crudo. Asimismo, este resultado fue acentuado por la caída del subsector de minería metálica de 0,39%, sustentado en los menores volúmenes de producción de molibdeno, zinc, oro, plomo y estaño.</w:t>
      </w:r>
    </w:p>
    <w:p w14:paraId="4AF41271" w14:textId="4C8900E7" w:rsidR="00FC1E19" w:rsidRDefault="0022451B" w:rsidP="00963670">
      <w:pPr>
        <w:jc w:val="both"/>
      </w:pPr>
      <w:r w:rsidRPr="0022451B">
        <w:t>La minería metálica registró una contracción de 0,39% en marzo de 2026, explicada por los menores niveles de producción de molibdeno (-13,08%), zinc (-5,94%), oro (-5,14%), plomo (-6,79%) y estaño (-6,12%), que en conjunto incidieron negativamente en 2,46 puntos porcentuales sobre la variación del sector; no obstante, esta caída fue parcialmente atenuada por el mayor volumen de producción de cobre (3,79%), plata (4,52%) y hierro (2,99%), que aportaron una incidencia positiva de 2,12 puntos porcentuales.</w:t>
      </w:r>
    </w:p>
    <w:p w14:paraId="0C363828" w14:textId="6DE3FFBF" w:rsidR="00FC1E19" w:rsidRDefault="0022451B" w:rsidP="00963670">
      <w:pPr>
        <w:jc w:val="both"/>
      </w:pPr>
      <w:r w:rsidRPr="0022451B">
        <w:t>En marzo de 2026, el subsector hidrocarburos mostró una fuerte contracción de 35,41%, acumulando dos meses consecutivos de resultados negativos, como consecuencia de la menor extracción de líquidos de gas natural (-44,83%), gas natural (-38,94%) y petróleo crudo (-18,34%), con una incidencia conjunta negativa de 4,66 puntos porcentuales sobre el resultado del sector.</w:t>
      </w:r>
    </w:p>
    <w:p w14:paraId="21BF7D26" w14:textId="4F3AFCBF" w:rsidR="00AA60AE" w:rsidRDefault="00AA60AE" w:rsidP="00963670">
      <w:pPr>
        <w:jc w:val="both"/>
      </w:pPr>
      <w:r>
        <w:br w:type="page"/>
      </w:r>
    </w:p>
    <w:p w14:paraId="2E4AF88D" w14:textId="62899D61" w:rsidR="00AA60AE" w:rsidRDefault="00AA60AE" w:rsidP="00AA60AE">
      <w:pPr>
        <w:jc w:val="both"/>
      </w:pPr>
      <w:r w:rsidRPr="001501D7">
        <w:lastRenderedPageBreak/>
        <w:t>Producción Sectorial: Enero-</w:t>
      </w:r>
      <w:proofErr w:type="gramStart"/>
      <w:r w:rsidR="0022451B">
        <w:t>Marzo</w:t>
      </w:r>
      <w:proofErr w:type="gramEnd"/>
      <w:r w:rsidRPr="001501D7">
        <w:t xml:space="preserve"> 2026</w:t>
      </w:r>
    </w:p>
    <w:p w14:paraId="24FF1796" w14:textId="4E3FD8CD" w:rsidR="00AA60AE" w:rsidRDefault="00AA60AE" w:rsidP="00963670">
      <w:pPr>
        <w:jc w:val="both"/>
      </w:pPr>
      <w:r w:rsidRPr="00AA60AE">
        <w:t>Sector Minería e Hidrocarburos</w:t>
      </w:r>
    </w:p>
    <w:p w14:paraId="7EAF8086" w14:textId="77777777" w:rsidR="0022451B" w:rsidRDefault="0022451B" w:rsidP="0022451B">
      <w:pPr>
        <w:jc w:val="both"/>
      </w:pPr>
      <w:r>
        <w:t>El sector minería e hidrocarburos registró, en el primer trimestre de 2026, una contracción de 1,08%, explicada por el desempeño negativo del subsector hidrocarburos, que disminuyó 15,41% en el periodo de referencia. Este resultado respondió principalmente al menor volumen acumulado de explotación de líquidos de gas natural (-15,33%), petróleo crudo (-20,22%) y gas natural (-10,43%), con una incidencia conjunta negativa de 1,97 puntos porcentuales sobre el resultado del sector.</w:t>
      </w:r>
    </w:p>
    <w:p w14:paraId="1F065267" w14:textId="664E8CAD" w:rsidR="00AA60AE" w:rsidRDefault="0022451B" w:rsidP="0022451B">
      <w:pPr>
        <w:jc w:val="both"/>
      </w:pPr>
      <w:r>
        <w:t>Por su parte, la actividad minera metálica mantuvo una trayectoria positiva al crecer 1,03% durante el primer trimestre, sustentada principalmente en los mayores volúmenes de producción de cobre (3,06%) y zinc (2,02%), que en conjunto aportaron 1,67 puntos porcentuales al resultado global del sector. Asimismo, contribuyeron los incrementos acumulados en la producción de plata (2,30%) y hierro (1,92%), con una incidencia positiva de 0,17 puntos porcentuales; no obstante, este desempeño fue atenuado por la menor producción de molibdeno (-9,25%), plomo (-3,97%), oro (-0,52%) y estaño (-0,81%), con una incidencia conjunta negativa de 0,95 puntos porcentuales sobre el resultado del sector.</w:t>
      </w:r>
    </w:p>
    <w:sectPr w:rsidR="00AA60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581F5E"/>
    <w:multiLevelType w:val="hybridMultilevel"/>
    <w:tmpl w:val="141A8A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670"/>
    <w:rsid w:val="0022451B"/>
    <w:rsid w:val="00344F53"/>
    <w:rsid w:val="0034678C"/>
    <w:rsid w:val="00592031"/>
    <w:rsid w:val="00963670"/>
    <w:rsid w:val="00AA60AE"/>
    <w:rsid w:val="00BD32AE"/>
    <w:rsid w:val="00FC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8F78D"/>
  <w15:chartTrackingRefBased/>
  <w15:docId w15:val="{2E8D91B3-1CBF-4897-9817-491834FF0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670"/>
  </w:style>
  <w:style w:type="paragraph" w:styleId="Ttulo1">
    <w:name w:val="heading 1"/>
    <w:basedOn w:val="Normal"/>
    <w:next w:val="Normal"/>
    <w:link w:val="Ttulo1Car"/>
    <w:uiPriority w:val="9"/>
    <w:qFormat/>
    <w:rsid w:val="00963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3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3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3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3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3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3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3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3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3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3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3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36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36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36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36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36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36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3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3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3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3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3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36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36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36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3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36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3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642</Words>
  <Characters>3537</Characters>
  <Application>Microsoft Office Word</Application>
  <DocSecurity>0</DocSecurity>
  <Lines>29</Lines>
  <Paragraphs>8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Juan Salazar Chavez</cp:lastModifiedBy>
  <cp:revision>5</cp:revision>
  <dcterms:created xsi:type="dcterms:W3CDTF">2026-04-26T14:38:00Z</dcterms:created>
  <dcterms:modified xsi:type="dcterms:W3CDTF">2026-05-04T22:10:00Z</dcterms:modified>
</cp:coreProperties>
</file>