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6EB5F" w14:textId="77796FA7" w:rsidR="00CA1F1B" w:rsidRPr="00CA1F1B" w:rsidRDefault="00CA1F1B" w:rsidP="00CA1F1B">
      <w:pPr>
        <w:rPr>
          <w:b/>
          <w:bCs/>
        </w:rPr>
      </w:pPr>
      <w:r w:rsidRPr="00CA1F1B">
        <w:rPr>
          <w:b/>
          <w:bCs/>
        </w:rPr>
        <w:t>Objective and Data</w:t>
      </w:r>
    </w:p>
    <w:p w14:paraId="09B083E4" w14:textId="66E12B38" w:rsidR="00CA1F1B" w:rsidRPr="00CA1F1B" w:rsidRDefault="00CA1F1B" w:rsidP="00CA1F1B">
      <w:r w:rsidRPr="00CA1F1B">
        <w:t xml:space="preserve">The objective of the project was to construct and evaluate equity portfolios using mean–variance optimization and to compare three optimized portfolios against a SPY benchmark. </w:t>
      </w:r>
      <w:r w:rsidR="00DD64EE">
        <w:t>I</w:t>
      </w:r>
      <w:r w:rsidRPr="00CA1F1B">
        <w:t xml:space="preserve"> focused on nine U.S. stocks: defensive/real</w:t>
      </w:r>
      <w:r w:rsidRPr="00CA1F1B">
        <w:noBreakHyphen/>
        <w:t>economy names (JNJ, KO, EOG, NEM, ADM) and technology/growth names (MSFT, ADBE, AMAT, NVDA), covering a spectrum from low</w:t>
      </w:r>
      <w:r w:rsidRPr="00CA1F1B">
        <w:noBreakHyphen/>
        <w:t>beta defensives to high</w:t>
      </w:r>
      <w:r w:rsidRPr="00CA1F1B">
        <w:noBreakHyphen/>
        <w:t>beta growth.</w:t>
      </w:r>
      <w:r w:rsidRPr="00CA1F1B">
        <w:rPr>
          <w:rFonts w:ascii="Arial" w:hAnsi="Arial" w:cs="Arial"/>
        </w:rPr>
        <w:t>​</w:t>
      </w:r>
    </w:p>
    <w:p w14:paraId="53C07647" w14:textId="4B4A10E6" w:rsidR="00CA1F1B" w:rsidRDefault="00DD64EE" w:rsidP="00CA1F1B">
      <w:pPr>
        <w:rPr>
          <w:rFonts w:ascii="Arial" w:hAnsi="Arial" w:cs="Arial"/>
        </w:rPr>
      </w:pPr>
      <w:r>
        <w:t>I</w:t>
      </w:r>
      <w:r w:rsidR="00CA1F1B" w:rsidRPr="00CA1F1B">
        <w:t xml:space="preserve"> downloaded daily adjusted close prices from Yahoo Finance via y</w:t>
      </w:r>
      <w:r w:rsidR="00B130A4">
        <w:t xml:space="preserve">ahoo </w:t>
      </w:r>
      <w:r w:rsidR="00CA1F1B" w:rsidRPr="00CA1F1B">
        <w:t>finance for the period 2015</w:t>
      </w:r>
      <w:r w:rsidR="00CA1F1B" w:rsidRPr="00CA1F1B">
        <w:noBreakHyphen/>
        <w:t>01</w:t>
      </w:r>
      <w:r w:rsidR="00CA1F1B" w:rsidRPr="00CA1F1B">
        <w:noBreakHyphen/>
        <w:t>01 to 2025</w:t>
      </w:r>
      <w:r w:rsidR="00CA1F1B" w:rsidRPr="00CA1F1B">
        <w:noBreakHyphen/>
        <w:t>01</w:t>
      </w:r>
      <w:r w:rsidR="00CA1F1B" w:rsidRPr="00CA1F1B">
        <w:noBreakHyphen/>
        <w:t>01, cleaned missing values, and converted prices into daily log and simple returns, saving the log</w:t>
      </w:r>
      <w:r w:rsidR="00CA1F1B" w:rsidRPr="00CA1F1B">
        <w:noBreakHyphen/>
        <w:t>return series for subsequent analysis.</w:t>
      </w:r>
      <w:r w:rsidR="00CA1F1B" w:rsidRPr="00CA1F1B">
        <w:rPr>
          <w:rFonts w:ascii="Arial" w:hAnsi="Arial" w:cs="Arial"/>
        </w:rPr>
        <w:t>​</w:t>
      </w:r>
    </w:p>
    <w:tbl>
      <w:tblPr>
        <w:tblW w:w="5000" w:type="pct"/>
        <w:tblCellMar>
          <w:top w:w="15" w:type="dxa"/>
          <w:left w:w="15" w:type="dxa"/>
          <w:bottom w:w="15" w:type="dxa"/>
          <w:right w:w="15" w:type="dxa"/>
        </w:tblCellMar>
        <w:tblLook w:val="04A0" w:firstRow="1" w:lastRow="0" w:firstColumn="1" w:lastColumn="0" w:noHBand="0" w:noVBand="1"/>
      </w:tblPr>
      <w:tblGrid>
        <w:gridCol w:w="903"/>
        <w:gridCol w:w="2186"/>
        <w:gridCol w:w="3923"/>
        <w:gridCol w:w="1024"/>
        <w:gridCol w:w="1308"/>
      </w:tblGrid>
      <w:tr w:rsidR="00D057BB" w:rsidRPr="0057490B" w14:paraId="6FF1A1D4" w14:textId="77777777" w:rsidTr="00224AF1">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5490081" w14:textId="77777777" w:rsidR="002C55A7" w:rsidRPr="0057490B" w:rsidRDefault="002C55A7" w:rsidP="00EC3C3C">
            <w:pPr>
              <w:rPr>
                <w:b/>
                <w:bCs/>
              </w:rPr>
            </w:pPr>
            <w:r w:rsidRPr="0057490B">
              <w:rPr>
                <w:b/>
                <w:bCs/>
              </w:rPr>
              <w:t>Ticker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A51CDF" w14:textId="77777777" w:rsidR="002C55A7" w:rsidRPr="0057490B" w:rsidRDefault="002C55A7" w:rsidP="00EC3C3C">
            <w:pPr>
              <w:rPr>
                <w:b/>
                <w:bCs/>
              </w:rPr>
            </w:pPr>
            <w:r w:rsidRPr="0057490B">
              <w:rPr>
                <w:b/>
                <w:bCs/>
              </w:rPr>
              <w:t>Sector / Theme</w:t>
            </w:r>
          </w:p>
        </w:tc>
        <w:tc>
          <w:tcPr>
            <w:tcW w:w="2099"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5515FD7" w14:textId="77777777" w:rsidR="002C55A7" w:rsidRPr="0057490B" w:rsidRDefault="002C55A7" w:rsidP="00EC3C3C">
            <w:pPr>
              <w:rPr>
                <w:b/>
                <w:bCs/>
              </w:rPr>
            </w:pPr>
            <w:r w:rsidRPr="0057490B">
              <w:rPr>
                <w:b/>
                <w:bCs/>
              </w:rPr>
              <w:t>Why it was chosen</w:t>
            </w:r>
          </w:p>
        </w:tc>
        <w:tc>
          <w:tcPr>
            <w:tcW w:w="548"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D6AA3A" w14:textId="77777777" w:rsidR="002C55A7" w:rsidRPr="0057490B" w:rsidRDefault="002C55A7" w:rsidP="00EC3C3C">
            <w:pPr>
              <w:rPr>
                <w:b/>
                <w:bCs/>
              </w:rPr>
            </w:pPr>
            <w:r w:rsidRPr="0057490B">
              <w:rPr>
                <w:b/>
                <w:bCs/>
              </w:rPr>
              <w:t>Beta vs SPY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4D34DC" w14:textId="77777777" w:rsidR="002C55A7" w:rsidRPr="0057490B" w:rsidRDefault="002C55A7" w:rsidP="00EC3C3C">
            <w:pPr>
              <w:rPr>
                <w:b/>
                <w:bCs/>
              </w:rPr>
            </w:pPr>
            <w:r w:rsidRPr="0057490B">
              <w:rPr>
                <w:b/>
                <w:bCs/>
              </w:rPr>
              <w:t>Exp. annual return (%)</w:t>
            </w:r>
          </w:p>
        </w:tc>
      </w:tr>
      <w:tr w:rsidR="00D057BB" w:rsidRPr="0057490B" w14:paraId="6CDB8F33"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DA2DEA" w14:textId="77777777" w:rsidR="002C55A7" w:rsidRPr="0057490B" w:rsidRDefault="002C55A7" w:rsidP="00EC3C3C">
            <w:r w:rsidRPr="0057490B">
              <w:t>JNJ</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203311" w14:textId="77777777" w:rsidR="002C55A7" w:rsidRPr="0057490B" w:rsidRDefault="002C55A7" w:rsidP="00EC3C3C">
            <w:r w:rsidRPr="0057490B">
              <w:t>Healthcare</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3CA79" w14:textId="77777777" w:rsidR="002C55A7" w:rsidRPr="0057490B" w:rsidRDefault="002C55A7" w:rsidP="00EC3C3C">
            <w:r w:rsidRPr="0057490B">
              <w:t>Defensive healthcare exposure with stable earnings that can help dampen portfolio drawdowns.</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B5FBF" w14:textId="77777777" w:rsidR="002C55A7" w:rsidRPr="0057490B" w:rsidRDefault="002C55A7" w:rsidP="00EC3C3C">
            <w:r w:rsidRPr="0057490B">
              <w:t>1.293</w:t>
            </w:r>
            <w:r w:rsidRPr="0057490B">
              <w:rPr>
                <w:rFonts w:ascii="Arial" w:hAnsi="Arial" w:cs="Arial"/>
              </w:rPr>
              <w:t xml:space="preserve">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E4E96B" w14:textId="77777777" w:rsidR="002C55A7" w:rsidRPr="0057490B" w:rsidRDefault="002C55A7" w:rsidP="00EC3C3C">
            <w:r w:rsidRPr="0057490B">
              <w:t>6.02</w:t>
            </w:r>
            <w:r w:rsidRPr="0057490B">
              <w:rPr>
                <w:rFonts w:ascii="Arial" w:hAnsi="Arial" w:cs="Arial"/>
              </w:rPr>
              <w:t>​</w:t>
            </w:r>
          </w:p>
        </w:tc>
      </w:tr>
      <w:tr w:rsidR="00D057BB" w:rsidRPr="0057490B" w14:paraId="5671E734"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1195DB" w14:textId="77777777" w:rsidR="002C55A7" w:rsidRPr="0057490B" w:rsidRDefault="002C55A7" w:rsidP="00EC3C3C">
            <w:r w:rsidRPr="0057490B">
              <w:t>KO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ED5FD" w14:textId="77777777" w:rsidR="002C55A7" w:rsidRPr="0057490B" w:rsidRDefault="002C55A7" w:rsidP="00EC3C3C">
            <w:r w:rsidRPr="0057490B">
              <w:t>Consumer Staples</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4262D" w14:textId="77777777" w:rsidR="002C55A7" w:rsidRPr="0057490B" w:rsidRDefault="002C55A7" w:rsidP="00EC3C3C">
            <w:r w:rsidRPr="0057490B">
              <w:t>Classic staples name with resilient cash flows and lower cyclicality than the overall market.</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4948F7" w14:textId="77777777" w:rsidR="002C55A7" w:rsidRPr="0057490B" w:rsidRDefault="002C55A7" w:rsidP="00EC3C3C">
            <w:r w:rsidRPr="0057490B">
              <w:t>0.829</w:t>
            </w:r>
            <w:r w:rsidRPr="0057490B">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1038C" w14:textId="77777777" w:rsidR="002C55A7" w:rsidRPr="0057490B" w:rsidRDefault="002C55A7" w:rsidP="00EC3C3C">
            <w:r w:rsidRPr="0057490B">
              <w:t>7.10</w:t>
            </w:r>
            <w:r w:rsidRPr="0057490B">
              <w:rPr>
                <w:rFonts w:ascii="Arial" w:hAnsi="Arial" w:cs="Arial"/>
              </w:rPr>
              <w:t>​</w:t>
            </w:r>
          </w:p>
        </w:tc>
      </w:tr>
      <w:tr w:rsidR="00D057BB" w:rsidRPr="0057490B" w14:paraId="6B967375"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BF8B75" w14:textId="77777777" w:rsidR="002C55A7" w:rsidRPr="0057490B" w:rsidRDefault="002C55A7" w:rsidP="00EC3C3C">
            <w:r w:rsidRPr="0057490B">
              <w:t>EOG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55F1FA" w14:textId="77777777" w:rsidR="002C55A7" w:rsidRPr="0057490B" w:rsidRDefault="002C55A7" w:rsidP="00EC3C3C">
            <w:r w:rsidRPr="0057490B">
              <w:t>Energy (Oil &amp; Gas)</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30E1EE" w14:textId="77777777" w:rsidR="002C55A7" w:rsidRPr="0057490B" w:rsidRDefault="002C55A7" w:rsidP="00EC3C3C">
            <w:r w:rsidRPr="0057490B">
              <w:t>Upstream energy exposure to add commodity and inflation sensitivity.</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846B3" w14:textId="77777777" w:rsidR="002C55A7" w:rsidRPr="0057490B" w:rsidRDefault="002C55A7" w:rsidP="00EC3C3C">
            <w:r w:rsidRPr="0057490B">
              <w:t>1.611</w:t>
            </w:r>
            <w:r w:rsidRPr="0057490B">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9CEF55" w14:textId="77777777" w:rsidR="002C55A7" w:rsidRPr="0057490B" w:rsidRDefault="002C55A7" w:rsidP="00EC3C3C">
            <w:r w:rsidRPr="0057490B">
              <w:t>5.64</w:t>
            </w:r>
            <w:r w:rsidRPr="0057490B">
              <w:rPr>
                <w:rFonts w:ascii="Arial" w:hAnsi="Arial" w:cs="Arial"/>
              </w:rPr>
              <w:t>​</w:t>
            </w:r>
          </w:p>
        </w:tc>
      </w:tr>
      <w:tr w:rsidR="00D057BB" w:rsidRPr="0057490B" w14:paraId="708A6F4B"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838B5" w14:textId="77777777" w:rsidR="002C55A7" w:rsidRPr="0057490B" w:rsidRDefault="002C55A7" w:rsidP="00EC3C3C">
            <w:r w:rsidRPr="0057490B">
              <w:t>NEM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042C21" w14:textId="77777777" w:rsidR="002C55A7" w:rsidRPr="0057490B" w:rsidRDefault="002C55A7" w:rsidP="00EC3C3C">
            <w:r w:rsidRPr="0057490B">
              <w:t>Gold Mining</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1DC68D" w14:textId="77777777" w:rsidR="002C55A7" w:rsidRPr="0057490B" w:rsidRDefault="002C55A7" w:rsidP="00EC3C3C">
            <w:r w:rsidRPr="0057490B">
              <w:t>Proxy for gold/safe</w:t>
            </w:r>
            <w:r w:rsidRPr="0057490B">
              <w:noBreakHyphen/>
              <w:t>haven behavior that can diversify equity risk in stress periods.</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5703E3" w14:textId="77777777" w:rsidR="002C55A7" w:rsidRPr="0057490B" w:rsidRDefault="002C55A7" w:rsidP="00EC3C3C">
            <w:r w:rsidRPr="0057490B">
              <w:t>1.091</w:t>
            </w:r>
            <w:r w:rsidRPr="0057490B">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3CEE30" w14:textId="77777777" w:rsidR="002C55A7" w:rsidRPr="0057490B" w:rsidRDefault="002C55A7" w:rsidP="00EC3C3C">
            <w:r w:rsidRPr="0057490B">
              <w:t>8.87</w:t>
            </w:r>
            <w:r w:rsidRPr="0057490B">
              <w:rPr>
                <w:rFonts w:ascii="Arial" w:hAnsi="Arial" w:cs="Arial"/>
              </w:rPr>
              <w:t>​</w:t>
            </w:r>
          </w:p>
        </w:tc>
      </w:tr>
      <w:tr w:rsidR="00D057BB" w:rsidRPr="0057490B" w14:paraId="1A13E1DA"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DC7182" w14:textId="77777777" w:rsidR="002C55A7" w:rsidRPr="0057490B" w:rsidRDefault="002C55A7" w:rsidP="00EC3C3C">
            <w:r w:rsidRPr="0057490B">
              <w:t>ADM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FB3302" w14:textId="77777777" w:rsidR="002C55A7" w:rsidRPr="0057490B" w:rsidRDefault="002C55A7" w:rsidP="00EC3C3C">
            <w:r w:rsidRPr="0057490B">
              <w:t>Agriculture / Commodities</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E0C911" w14:textId="77777777" w:rsidR="002C55A7" w:rsidRPr="0057490B" w:rsidRDefault="002C55A7" w:rsidP="00EC3C3C">
            <w:r w:rsidRPr="0057490B">
              <w:t>Agriculture and grain processing exposure, tying returns to food and crop prices.</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8E55E2" w14:textId="77777777" w:rsidR="002C55A7" w:rsidRPr="0057490B" w:rsidRDefault="002C55A7" w:rsidP="00EC3C3C">
            <w:r w:rsidRPr="0057490B">
              <w:t>0.544</w:t>
            </w:r>
            <w:r w:rsidRPr="0057490B">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81AE98" w14:textId="77777777" w:rsidR="002C55A7" w:rsidRPr="0057490B" w:rsidRDefault="002C55A7" w:rsidP="00EC3C3C">
            <w:r w:rsidRPr="0057490B">
              <w:t>6.20</w:t>
            </w:r>
            <w:r w:rsidRPr="0057490B">
              <w:rPr>
                <w:rFonts w:ascii="Arial" w:hAnsi="Arial" w:cs="Arial"/>
              </w:rPr>
              <w:t>​</w:t>
            </w:r>
          </w:p>
        </w:tc>
      </w:tr>
      <w:tr w:rsidR="00D057BB" w:rsidRPr="0057490B" w14:paraId="40F64F1A"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CC1980" w14:textId="77777777" w:rsidR="002C55A7" w:rsidRPr="0057490B" w:rsidRDefault="002C55A7" w:rsidP="00EC3C3C">
            <w:r w:rsidRPr="0057490B">
              <w:lastRenderedPageBreak/>
              <w:t>MSFT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B0AE8" w14:textId="77777777" w:rsidR="002C55A7" w:rsidRPr="0057490B" w:rsidRDefault="002C55A7" w:rsidP="00EC3C3C">
            <w:r w:rsidRPr="0057490B">
              <w:t>Large</w:t>
            </w:r>
            <w:r w:rsidRPr="0057490B">
              <w:noBreakHyphen/>
              <w:t>Cap Tech / Cloud &amp; AI</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DE4418" w14:textId="77777777" w:rsidR="002C55A7" w:rsidRPr="0057490B" w:rsidRDefault="002C55A7" w:rsidP="00EC3C3C">
            <w:r w:rsidRPr="0057490B">
              <w:t>Broad technology platform and AI leader, core growth engine with diversified revenue streams.</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71014" w14:textId="77777777" w:rsidR="002C55A7" w:rsidRPr="0057490B" w:rsidRDefault="002C55A7" w:rsidP="00EC3C3C">
            <w:r w:rsidRPr="0057490B">
              <w:t>0.595</w:t>
            </w:r>
            <w:r w:rsidRPr="0057490B">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60B46B" w14:textId="77777777" w:rsidR="002C55A7" w:rsidRPr="0057490B" w:rsidRDefault="002C55A7" w:rsidP="00EC3C3C">
            <w:r w:rsidRPr="0057490B">
              <w:t>7.35</w:t>
            </w:r>
            <w:r w:rsidRPr="0057490B">
              <w:rPr>
                <w:rFonts w:ascii="Arial" w:hAnsi="Arial" w:cs="Arial"/>
              </w:rPr>
              <w:t>​</w:t>
            </w:r>
          </w:p>
        </w:tc>
      </w:tr>
      <w:tr w:rsidR="00D057BB" w:rsidRPr="0057490B" w14:paraId="3AF5E152"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45774E" w14:textId="77777777" w:rsidR="002C55A7" w:rsidRPr="0057490B" w:rsidRDefault="002C55A7" w:rsidP="00EC3C3C">
            <w:r w:rsidRPr="0057490B">
              <w:t>ADBE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FEC387" w14:textId="77777777" w:rsidR="002C55A7" w:rsidRPr="0057490B" w:rsidRDefault="002C55A7" w:rsidP="00EC3C3C">
            <w:r w:rsidRPr="0057490B">
              <w:t>Software / Digital Media</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9FE3DD" w14:textId="77777777" w:rsidR="002C55A7" w:rsidRPr="0057490B" w:rsidRDefault="002C55A7" w:rsidP="00EC3C3C">
            <w:r w:rsidRPr="0057490B">
              <w:t>High</w:t>
            </w:r>
            <w:r w:rsidRPr="0057490B">
              <w:noBreakHyphen/>
              <w:t>margin subscription software in creative and marketing tools, diversifying tech beyond infrastructure.</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57C9C" w14:textId="77777777" w:rsidR="002C55A7" w:rsidRPr="0057490B" w:rsidRDefault="002C55A7" w:rsidP="00EC3C3C">
            <w:r w:rsidRPr="0057490B">
              <w:t>1.226</w:t>
            </w:r>
            <w:r w:rsidRPr="0057490B">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A5904" w14:textId="77777777" w:rsidR="002C55A7" w:rsidRPr="0057490B" w:rsidRDefault="002C55A7" w:rsidP="00EC3C3C">
            <w:r w:rsidRPr="0057490B">
              <w:t>26.56</w:t>
            </w:r>
            <w:r w:rsidRPr="0057490B">
              <w:rPr>
                <w:rFonts w:ascii="Arial" w:hAnsi="Arial" w:cs="Arial"/>
              </w:rPr>
              <w:t>​</w:t>
            </w:r>
          </w:p>
        </w:tc>
      </w:tr>
      <w:tr w:rsidR="00D057BB" w:rsidRPr="0057490B" w14:paraId="089A3B2A"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1CBBA" w14:textId="77777777" w:rsidR="002C55A7" w:rsidRPr="0057490B" w:rsidRDefault="002C55A7" w:rsidP="00EC3C3C">
            <w:r w:rsidRPr="0057490B">
              <w:t>AMAT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81563E" w14:textId="77777777" w:rsidR="002C55A7" w:rsidRPr="0057490B" w:rsidRDefault="002C55A7" w:rsidP="00EC3C3C">
            <w:r w:rsidRPr="0057490B">
              <w:t>Semiconductors Equipment</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D660C9" w14:textId="77777777" w:rsidR="002C55A7" w:rsidRPr="0057490B" w:rsidRDefault="002C55A7" w:rsidP="00EC3C3C">
            <w:r w:rsidRPr="0057490B">
              <w:t>“Picks and shovels” supplier to the chip industry, giving cyclical but equipment</w:t>
            </w:r>
            <w:r w:rsidRPr="0057490B">
              <w:noBreakHyphen/>
              <w:t>focused exposure.</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4BFE2D" w14:textId="77777777" w:rsidR="002C55A7" w:rsidRPr="0057490B" w:rsidRDefault="002C55A7" w:rsidP="00EC3C3C">
            <w:r w:rsidRPr="0057490B">
              <w:t>0.393</w:t>
            </w:r>
            <w:r w:rsidRPr="0057490B">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2C131" w14:textId="77777777" w:rsidR="002C55A7" w:rsidRPr="0057490B" w:rsidRDefault="002C55A7" w:rsidP="00EC3C3C">
            <w:r w:rsidRPr="0057490B">
              <w:t>9.28</w:t>
            </w:r>
            <w:r w:rsidRPr="0057490B">
              <w:rPr>
                <w:rFonts w:ascii="Arial" w:hAnsi="Arial" w:cs="Arial"/>
              </w:rPr>
              <w:t>​</w:t>
            </w:r>
          </w:p>
        </w:tc>
      </w:tr>
      <w:tr w:rsidR="00D057BB" w:rsidRPr="0057490B" w14:paraId="3F92CA32"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DC73E1" w14:textId="77777777" w:rsidR="002C55A7" w:rsidRPr="0057490B" w:rsidRDefault="002C55A7" w:rsidP="00EC3C3C">
            <w:r w:rsidRPr="0057490B">
              <w:t>NVDA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564C5D" w14:textId="77777777" w:rsidR="002C55A7" w:rsidRPr="0057490B" w:rsidRDefault="002C55A7" w:rsidP="00EC3C3C">
            <w:r w:rsidRPr="0057490B">
              <w:t>Semiconductors / AI Chips</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BC6C84" w14:textId="77777777" w:rsidR="002C55A7" w:rsidRPr="0057490B" w:rsidRDefault="002C55A7" w:rsidP="00EC3C3C">
            <w:r w:rsidRPr="0057490B">
              <w:t>Dominant AI GPU provider, intentionally used as the very high</w:t>
            </w:r>
            <w:r w:rsidRPr="0057490B">
              <w:noBreakHyphen/>
              <w:t>growth, high</w:t>
            </w:r>
            <w:r w:rsidRPr="0057490B">
              <w:noBreakHyphen/>
              <w:t>beta component.</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9BF0E5" w14:textId="77777777" w:rsidR="002C55A7" w:rsidRPr="0057490B" w:rsidRDefault="002C55A7" w:rsidP="00EC3C3C">
            <w:r w:rsidRPr="0057490B">
              <w:t>1.754</w:t>
            </w:r>
            <w:r w:rsidRPr="0057490B">
              <w:rPr>
                <w:rFonts w:ascii="Arial" w:hAnsi="Arial" w:cs="Arial"/>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58597" w14:textId="77777777" w:rsidR="002C55A7" w:rsidRPr="0057490B" w:rsidRDefault="002C55A7" w:rsidP="00EC3C3C">
            <w:r w:rsidRPr="0057490B">
              <w:t>75.74</w:t>
            </w:r>
            <w:r w:rsidRPr="0057490B">
              <w:rPr>
                <w:rFonts w:ascii="Arial" w:hAnsi="Arial" w:cs="Arial"/>
              </w:rPr>
              <w:t>​</w:t>
            </w:r>
          </w:p>
        </w:tc>
      </w:tr>
      <w:tr w:rsidR="00D057BB" w:rsidRPr="0057490B" w14:paraId="67EA7700" w14:textId="77777777" w:rsidTr="00224AF1">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26A9F0" w14:textId="214F4316" w:rsidR="00D057BB" w:rsidRPr="0057490B" w:rsidRDefault="00D057BB" w:rsidP="00D057BB">
            <w:r>
              <w:t xml:space="preserve">SPY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521BF3" w14:textId="5136D258" w:rsidR="00D057BB" w:rsidRPr="0057490B" w:rsidRDefault="00D057BB" w:rsidP="00D057BB">
            <w:r>
              <w:t>S&amp;P 500 Benchmark</w:t>
            </w:r>
          </w:p>
        </w:tc>
        <w:tc>
          <w:tcPr>
            <w:tcW w:w="2099"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4072939" w14:textId="3F306694" w:rsidR="00D057BB" w:rsidRPr="0057490B" w:rsidRDefault="00D057BB" w:rsidP="00D057BB">
            <w:r>
              <w:t>-</w:t>
            </w:r>
          </w:p>
        </w:tc>
        <w:tc>
          <w:tcPr>
            <w:tcW w:w="548"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C5316C" w14:textId="24439CEA" w:rsidR="00D057BB" w:rsidRPr="0057490B" w:rsidRDefault="00D057BB" w:rsidP="00D057BB">
            <w:r>
              <w:t>1.00</w:t>
            </w:r>
            <w:r w:rsidR="00224AF1">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505BB2D" w14:textId="05B5E157" w:rsidR="00D057BB" w:rsidRPr="0057490B" w:rsidRDefault="00D057BB" w:rsidP="00D057BB">
            <w:r>
              <w:t>13.81</w:t>
            </w:r>
          </w:p>
        </w:tc>
      </w:tr>
    </w:tbl>
    <w:p w14:paraId="4A395A46" w14:textId="77777777" w:rsidR="002C55A7" w:rsidRPr="00CA1F1B" w:rsidRDefault="002C55A7" w:rsidP="00CA1F1B"/>
    <w:p w14:paraId="19866154" w14:textId="77777777" w:rsidR="00CA1F1B" w:rsidRPr="00CA1F1B" w:rsidRDefault="00000000" w:rsidP="00CA1F1B">
      <w:r>
        <w:pict w14:anchorId="6492D00F">
          <v:rect id="_x0000_i1026" style="width:0;height:.75pt" o:hralign="center" o:hrstd="t" o:hr="t" fillcolor="#a0a0a0" stroked="f"/>
        </w:pict>
      </w:r>
    </w:p>
    <w:p w14:paraId="53509DB2" w14:textId="4F7FDE21" w:rsidR="00CA1F1B" w:rsidRPr="00CA1F1B" w:rsidRDefault="00CA1F1B" w:rsidP="00CA1F1B">
      <w:pPr>
        <w:rPr>
          <w:b/>
          <w:bCs/>
        </w:rPr>
      </w:pPr>
      <w:r w:rsidRPr="00CA1F1B">
        <w:rPr>
          <w:b/>
          <w:bCs/>
        </w:rPr>
        <w:t>Estimating Returns, Risk, and the Efficient Frontier</w:t>
      </w:r>
    </w:p>
    <w:p w14:paraId="56BE88C2" w14:textId="3BE17605" w:rsidR="00CA1F1B" w:rsidRPr="00CA1F1B" w:rsidRDefault="00CA1F1B" w:rsidP="00CA1F1B">
      <w:r w:rsidRPr="00CA1F1B">
        <w:t xml:space="preserve">Using the daily log returns, </w:t>
      </w:r>
      <w:r w:rsidR="00DD64EE">
        <w:t>I</w:t>
      </w:r>
      <w:r w:rsidRPr="00CA1F1B">
        <w:t xml:space="preserve"> computed annualized expected returns and the 9×9 annualized covariance matrix. </w:t>
      </w:r>
      <w:r w:rsidR="00DD64EE">
        <w:t>I</w:t>
      </w:r>
      <w:r w:rsidRPr="00CA1F1B">
        <w:t xml:space="preserve"> then wrote a custom </w:t>
      </w:r>
      <w:r w:rsidR="00B130A4" w:rsidRPr="00CA1F1B">
        <w:t>portfolio stats</w:t>
      </w:r>
      <w:r w:rsidRPr="00CA1F1B">
        <w:t> function to calculate portfolio</w:t>
      </w:r>
      <w:r w:rsidRPr="00CA1F1B">
        <w:noBreakHyphen/>
        <w:t>level expected return, volatility, and Sharpe ratio (with a 5% risk</w:t>
      </w:r>
      <w:r w:rsidRPr="00CA1F1B">
        <w:noBreakHyphen/>
        <w:t>free rate) for arbitrary weight vectors.</w:t>
      </w:r>
      <w:r w:rsidRPr="00CA1F1B">
        <w:rPr>
          <w:rFonts w:ascii="Arial" w:hAnsi="Arial" w:cs="Arial"/>
        </w:rPr>
        <w:t>​</w:t>
      </w:r>
    </w:p>
    <w:p w14:paraId="6691652C" w14:textId="1814BFA8" w:rsidR="00CA1F1B" w:rsidRDefault="00CA1F1B" w:rsidP="00CA1F1B">
      <w:pPr>
        <w:rPr>
          <w:rFonts w:ascii="Arial" w:hAnsi="Arial" w:cs="Arial"/>
        </w:rPr>
      </w:pPr>
      <w:r w:rsidRPr="00CA1F1B">
        <w:t xml:space="preserve">To visualize the opportunity set, </w:t>
      </w:r>
      <w:r w:rsidR="00DD64EE">
        <w:t>I</w:t>
      </w:r>
      <w:r w:rsidRPr="00CA1F1B">
        <w:t xml:space="preserve"> generated 10,000 random portfolios, recorded their statistics, and plotted a scatter of annualized return vs. volatility, color</w:t>
      </w:r>
      <w:r w:rsidRPr="00CA1F1B">
        <w:noBreakHyphen/>
        <w:t>coded by Sharpe ratio. This Monte</w:t>
      </w:r>
      <w:r w:rsidRPr="00CA1F1B">
        <w:noBreakHyphen/>
        <w:t xml:space="preserve">Carlo “cloud” approximates the efficient frontier and illustrates how diversification across </w:t>
      </w:r>
      <w:r w:rsidR="00DD64EE">
        <w:t>my</w:t>
      </w:r>
      <w:r w:rsidRPr="00CA1F1B">
        <w:t xml:space="preserve"> chosen </w:t>
      </w:r>
      <w:r w:rsidR="00B130A4" w:rsidRPr="00CA1F1B">
        <w:t>asset’s</w:t>
      </w:r>
      <w:r w:rsidRPr="00CA1F1B">
        <w:t xml:space="preserve"> trades off risk and return.</w:t>
      </w:r>
      <w:r w:rsidRPr="00CA1F1B">
        <w:rPr>
          <w:rFonts w:ascii="Arial" w:hAnsi="Arial" w:cs="Arial"/>
        </w:rPr>
        <w:t>​</w:t>
      </w:r>
    </w:p>
    <w:p w14:paraId="3B68B4CF" w14:textId="1E9F3694" w:rsidR="00DD64EE" w:rsidRDefault="00F75B52" w:rsidP="00DD64EE">
      <w:pPr>
        <w:jc w:val="center"/>
        <w:rPr>
          <w:noProof/>
        </w:rPr>
      </w:pPr>
      <w:r>
        <w:rPr>
          <w:noProof/>
        </w:rPr>
        <w:lastRenderedPageBreak/>
        <w:drawing>
          <wp:anchor distT="0" distB="0" distL="114300" distR="114300" simplePos="0" relativeHeight="251664384" behindDoc="1" locked="0" layoutInCell="1" allowOverlap="1" wp14:anchorId="4B099042" wp14:editId="6CB8BA58">
            <wp:simplePos x="0" y="0"/>
            <wp:positionH relativeFrom="margin">
              <wp:align>center</wp:align>
            </wp:positionH>
            <wp:positionV relativeFrom="paragraph">
              <wp:posOffset>6350</wp:posOffset>
            </wp:positionV>
            <wp:extent cx="5033645" cy="4222750"/>
            <wp:effectExtent l="0" t="0" r="0" b="6350"/>
            <wp:wrapTight wrapText="bothSides">
              <wp:wrapPolygon edited="0">
                <wp:start x="0" y="0"/>
                <wp:lineTo x="0" y="21535"/>
                <wp:lineTo x="21499" y="21535"/>
                <wp:lineTo x="21499" y="0"/>
                <wp:lineTo x="0" y="0"/>
              </wp:wrapPolygon>
            </wp:wrapTight>
            <wp:docPr id="61158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3645" cy="4222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CEC975" w14:textId="46BCB2DB" w:rsidR="00F75B52" w:rsidRDefault="00F75B52" w:rsidP="00DD64EE">
      <w:pPr>
        <w:jc w:val="center"/>
      </w:pPr>
    </w:p>
    <w:p w14:paraId="1B731109" w14:textId="77777777" w:rsidR="00F75B52" w:rsidRDefault="00F75B52" w:rsidP="00DD64EE">
      <w:pPr>
        <w:jc w:val="center"/>
      </w:pPr>
    </w:p>
    <w:p w14:paraId="5E450C32" w14:textId="77777777" w:rsidR="00F75B52" w:rsidRDefault="00F75B52" w:rsidP="00DD64EE">
      <w:pPr>
        <w:jc w:val="center"/>
      </w:pPr>
    </w:p>
    <w:p w14:paraId="6CA3ED37" w14:textId="77777777" w:rsidR="00F75B52" w:rsidRDefault="00F75B52" w:rsidP="00DD64EE">
      <w:pPr>
        <w:jc w:val="center"/>
      </w:pPr>
    </w:p>
    <w:p w14:paraId="3F42F119" w14:textId="77777777" w:rsidR="00F75B52" w:rsidRDefault="00F75B52" w:rsidP="00DD64EE">
      <w:pPr>
        <w:jc w:val="center"/>
      </w:pPr>
    </w:p>
    <w:p w14:paraId="4ADF5BF4" w14:textId="77777777" w:rsidR="00F75B52" w:rsidRDefault="00F75B52" w:rsidP="00DD64EE">
      <w:pPr>
        <w:jc w:val="center"/>
      </w:pPr>
    </w:p>
    <w:p w14:paraId="659B9E05" w14:textId="77777777" w:rsidR="00F75B52" w:rsidRDefault="00F75B52" w:rsidP="00DD64EE">
      <w:pPr>
        <w:jc w:val="center"/>
      </w:pPr>
    </w:p>
    <w:p w14:paraId="01B5954B" w14:textId="77777777" w:rsidR="00F75B52" w:rsidRDefault="00F75B52" w:rsidP="00DD64EE">
      <w:pPr>
        <w:jc w:val="center"/>
      </w:pPr>
    </w:p>
    <w:p w14:paraId="10308D5A" w14:textId="77777777" w:rsidR="00F75B52" w:rsidRDefault="00F75B52" w:rsidP="00DD64EE">
      <w:pPr>
        <w:jc w:val="center"/>
      </w:pPr>
    </w:p>
    <w:p w14:paraId="1A5892DB" w14:textId="77777777" w:rsidR="00F75B52" w:rsidRDefault="00F75B52" w:rsidP="00DD64EE">
      <w:pPr>
        <w:jc w:val="center"/>
      </w:pPr>
    </w:p>
    <w:p w14:paraId="3D0C050E" w14:textId="77777777" w:rsidR="00F75B52" w:rsidRDefault="00F75B52" w:rsidP="00DD64EE">
      <w:pPr>
        <w:jc w:val="center"/>
      </w:pPr>
    </w:p>
    <w:p w14:paraId="3012D3A0" w14:textId="77777777" w:rsidR="00F75B52" w:rsidRDefault="00F75B52" w:rsidP="00DD64EE">
      <w:pPr>
        <w:jc w:val="center"/>
      </w:pPr>
    </w:p>
    <w:p w14:paraId="69711923" w14:textId="77777777" w:rsidR="0049554C" w:rsidRDefault="0049554C" w:rsidP="0049554C">
      <w:pPr>
        <w:jc w:val="center"/>
      </w:pPr>
      <w:r>
        <w:rPr>
          <w:noProof/>
        </w:rPr>
        <w:drawing>
          <wp:anchor distT="0" distB="0" distL="114300" distR="114300" simplePos="0" relativeHeight="251663360" behindDoc="1" locked="0" layoutInCell="1" allowOverlap="1" wp14:anchorId="48C28845" wp14:editId="0632063D">
            <wp:simplePos x="0" y="0"/>
            <wp:positionH relativeFrom="margin">
              <wp:align>center</wp:align>
            </wp:positionH>
            <wp:positionV relativeFrom="paragraph">
              <wp:posOffset>252857</wp:posOffset>
            </wp:positionV>
            <wp:extent cx="5545667" cy="3327400"/>
            <wp:effectExtent l="0" t="0" r="0" b="6350"/>
            <wp:wrapTight wrapText="bothSides">
              <wp:wrapPolygon edited="0">
                <wp:start x="0" y="0"/>
                <wp:lineTo x="0" y="21518"/>
                <wp:lineTo x="21518" y="21518"/>
                <wp:lineTo x="21518" y="0"/>
                <wp:lineTo x="0" y="0"/>
              </wp:wrapPolygon>
            </wp:wrapTight>
            <wp:docPr id="52573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45667" cy="3327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E33BFF" w14:textId="58D11DCD" w:rsidR="00CA1F1B" w:rsidRPr="00CA1F1B" w:rsidRDefault="00000000" w:rsidP="0049554C">
      <w:pPr>
        <w:jc w:val="center"/>
      </w:pPr>
      <w:r>
        <w:pict w14:anchorId="6F44B5A6">
          <v:rect id="_x0000_i1027" style="width:0;height:.75pt" o:hrstd="t" o:hr="t" fillcolor="#a0a0a0" stroked="f"/>
        </w:pict>
      </w:r>
    </w:p>
    <w:p w14:paraId="12819EE0" w14:textId="3CEC4780" w:rsidR="00CA1F1B" w:rsidRPr="00CA1F1B" w:rsidRDefault="00CA1F1B" w:rsidP="00CA1F1B">
      <w:pPr>
        <w:rPr>
          <w:b/>
          <w:bCs/>
        </w:rPr>
      </w:pPr>
      <w:r w:rsidRPr="00CA1F1B">
        <w:rPr>
          <w:b/>
          <w:bCs/>
        </w:rPr>
        <w:lastRenderedPageBreak/>
        <w:t xml:space="preserve">Optimizing Portfolios </w:t>
      </w:r>
    </w:p>
    <w:p w14:paraId="11B8A6F5" w14:textId="5169E428" w:rsidR="00CA1F1B" w:rsidRPr="00CA1F1B" w:rsidRDefault="00CA1F1B" w:rsidP="00CA1F1B">
      <w:r w:rsidRPr="00CA1F1B">
        <w:t xml:space="preserve">Next, </w:t>
      </w:r>
      <w:r w:rsidR="00DD64EE">
        <w:t>I</w:t>
      </w:r>
      <w:r w:rsidRPr="00CA1F1B">
        <w:t xml:space="preserve"> re</w:t>
      </w:r>
      <w:r w:rsidRPr="00CA1F1B">
        <w:noBreakHyphen/>
        <w:t>loaded the cleaned price data and used </w:t>
      </w:r>
      <w:proofErr w:type="spellStart"/>
      <w:r w:rsidRPr="00CA1F1B">
        <w:t>PyPortfolioOpt</w:t>
      </w:r>
      <w:proofErr w:type="spellEnd"/>
      <w:r w:rsidRPr="00CA1F1B">
        <w:t xml:space="preserve"> to compute more robust inputs: historical mean returns and a </w:t>
      </w:r>
      <w:proofErr w:type="spellStart"/>
      <w:r w:rsidRPr="00CA1F1B">
        <w:t>Ledoit</w:t>
      </w:r>
      <w:proofErr w:type="spellEnd"/>
      <w:r w:rsidRPr="00CA1F1B">
        <w:t xml:space="preserve">–Wolf shrinkage covariance matrix. With these inputs, </w:t>
      </w:r>
      <w:r w:rsidR="00DD64EE">
        <w:t>I</w:t>
      </w:r>
      <w:r w:rsidRPr="00CA1F1B">
        <w:t xml:space="preserve"> employed the Efficient</w:t>
      </w:r>
      <w:r w:rsidR="00B130A4">
        <w:t xml:space="preserve"> </w:t>
      </w:r>
      <w:r w:rsidRPr="00CA1F1B">
        <w:t>Frontier class to solve three optimization problems:</w:t>
      </w:r>
      <w:r w:rsidRPr="00CA1F1B">
        <w:rPr>
          <w:rFonts w:ascii="Arial" w:hAnsi="Arial" w:cs="Arial"/>
        </w:rPr>
        <w:t>​</w:t>
      </w:r>
    </w:p>
    <w:p w14:paraId="73E9C597" w14:textId="77777777" w:rsidR="00CA1F1B" w:rsidRPr="00CA1F1B" w:rsidRDefault="00CA1F1B" w:rsidP="00CA1F1B">
      <w:pPr>
        <w:numPr>
          <w:ilvl w:val="0"/>
          <w:numId w:val="1"/>
        </w:numPr>
      </w:pPr>
      <w:r w:rsidRPr="00CA1F1B">
        <w:t>Maximum Sharpe portfolio, which maximizes the Sharpe ratio at a 5% risk</w:t>
      </w:r>
      <w:r w:rsidRPr="00CA1F1B">
        <w:noBreakHyphen/>
        <w:t>free rate.</w:t>
      </w:r>
    </w:p>
    <w:p w14:paraId="6A4E21B9" w14:textId="77777777" w:rsidR="00CA1F1B" w:rsidRPr="00CA1F1B" w:rsidRDefault="00CA1F1B" w:rsidP="00CA1F1B">
      <w:pPr>
        <w:numPr>
          <w:ilvl w:val="0"/>
          <w:numId w:val="1"/>
        </w:numPr>
      </w:pPr>
      <w:r w:rsidRPr="00CA1F1B">
        <w:t>Minimum volatility portfolio, which minimizes total portfolio variance.</w:t>
      </w:r>
    </w:p>
    <w:p w14:paraId="52709763" w14:textId="77777777" w:rsidR="00CA1F1B" w:rsidRPr="00CA1F1B" w:rsidRDefault="00CA1F1B" w:rsidP="00CA1F1B">
      <w:pPr>
        <w:numPr>
          <w:ilvl w:val="0"/>
          <w:numId w:val="1"/>
        </w:numPr>
      </w:pPr>
      <w:r w:rsidRPr="00CA1F1B">
        <w:t>20% target</w:t>
      </w:r>
      <w:r w:rsidRPr="00CA1F1B">
        <w:noBreakHyphen/>
        <w:t>return portfolio, which minimizes risk subject to achieving a 20% annual expected return.</w:t>
      </w:r>
      <w:r w:rsidRPr="00CA1F1B">
        <w:rPr>
          <w:rFonts w:ascii="Arial" w:hAnsi="Arial" w:cs="Arial"/>
        </w:rPr>
        <w:t>​</w:t>
      </w:r>
    </w:p>
    <w:p w14:paraId="446CA15B" w14:textId="529325B9" w:rsidR="00CA1F1B" w:rsidRDefault="00CA1F1B" w:rsidP="00CA1F1B">
      <w:pPr>
        <w:rPr>
          <w:rFonts w:ascii="Arial" w:hAnsi="Arial" w:cs="Arial"/>
        </w:rPr>
      </w:pPr>
      <w:r w:rsidRPr="00CA1F1B">
        <w:t xml:space="preserve">For each portfolio, </w:t>
      </w:r>
      <w:r w:rsidR="00DD64EE">
        <w:t>I</w:t>
      </w:r>
      <w:r w:rsidRPr="00CA1F1B">
        <w:t xml:space="preserve"> extracted cleaned weights, annualized expected return, volatility, and Sharpe ratio, and summarized them in tables and plots of asset allocation by strategy. These outputs show that the Max Sharpe solution is highly concentrated in NVDA, the Min Vol portfolio tilts heavily toward low</w:t>
      </w:r>
      <w:r w:rsidRPr="00CA1F1B">
        <w:noBreakHyphen/>
        <w:t>beta defensive names, and the 20% target portfolio lies between them with a diversified but growth</w:t>
      </w:r>
      <w:r w:rsidRPr="00CA1F1B">
        <w:noBreakHyphen/>
        <w:t>oriented mix.</w:t>
      </w:r>
      <w:r w:rsidRPr="00CA1F1B">
        <w:rPr>
          <w:rFonts w:ascii="Arial" w:hAnsi="Arial" w:cs="Arial"/>
        </w:rPr>
        <w:t>​</w:t>
      </w:r>
    </w:p>
    <w:p w14:paraId="595DF51D" w14:textId="7FB249E5" w:rsidR="00DD64EE" w:rsidRDefault="008072ED" w:rsidP="00DD64EE">
      <w:pPr>
        <w:jc w:val="center"/>
        <w:rPr>
          <w:rFonts w:ascii="Arial" w:hAnsi="Arial" w:cs="Arial"/>
        </w:rPr>
      </w:pPr>
      <w:r>
        <w:rPr>
          <w:noProof/>
        </w:rPr>
        <w:drawing>
          <wp:anchor distT="0" distB="0" distL="114300" distR="114300" simplePos="0" relativeHeight="251659264" behindDoc="1" locked="0" layoutInCell="1" allowOverlap="1" wp14:anchorId="62D26767" wp14:editId="7277BA87">
            <wp:simplePos x="0" y="0"/>
            <wp:positionH relativeFrom="margin">
              <wp:align>center</wp:align>
            </wp:positionH>
            <wp:positionV relativeFrom="paragraph">
              <wp:posOffset>322580</wp:posOffset>
            </wp:positionV>
            <wp:extent cx="6261100" cy="2844800"/>
            <wp:effectExtent l="0" t="0" r="6350" b="0"/>
            <wp:wrapTight wrapText="bothSides">
              <wp:wrapPolygon edited="0">
                <wp:start x="0" y="0"/>
                <wp:lineTo x="0" y="21407"/>
                <wp:lineTo x="21556" y="21407"/>
                <wp:lineTo x="21556" y="0"/>
                <wp:lineTo x="0" y="0"/>
              </wp:wrapPolygon>
            </wp:wrapTight>
            <wp:docPr id="815261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61100" cy="284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209768" w14:textId="41AF5DE7" w:rsidR="00DD64EE" w:rsidRDefault="00DD64EE" w:rsidP="00DD64EE">
      <w:pPr>
        <w:jc w:val="center"/>
      </w:pPr>
    </w:p>
    <w:p w14:paraId="52D45375" w14:textId="2F6AB502" w:rsidR="002F3C96" w:rsidRDefault="002F3C96" w:rsidP="00DD64EE">
      <w:pPr>
        <w:jc w:val="center"/>
      </w:pPr>
    </w:p>
    <w:p w14:paraId="2513BCAF" w14:textId="4343E579" w:rsidR="002F3C96" w:rsidRPr="00CA1F1B" w:rsidRDefault="008072ED" w:rsidP="008072ED">
      <w:pPr>
        <w:jc w:val="center"/>
      </w:pPr>
      <w:r>
        <w:rPr>
          <w:noProof/>
        </w:rPr>
        <w:lastRenderedPageBreak/>
        <w:drawing>
          <wp:anchor distT="0" distB="0" distL="114300" distR="114300" simplePos="0" relativeHeight="251658240" behindDoc="1" locked="0" layoutInCell="1" allowOverlap="1" wp14:anchorId="53C4C118" wp14:editId="0B5126A3">
            <wp:simplePos x="0" y="0"/>
            <wp:positionH relativeFrom="margin">
              <wp:align>center</wp:align>
            </wp:positionH>
            <wp:positionV relativeFrom="paragraph">
              <wp:posOffset>400050</wp:posOffset>
            </wp:positionV>
            <wp:extent cx="5718175" cy="3638550"/>
            <wp:effectExtent l="0" t="0" r="0" b="0"/>
            <wp:wrapSquare wrapText="bothSides"/>
            <wp:docPr id="52565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8175" cy="3638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770B95" w14:textId="7B1928AF" w:rsidR="00CA1F1B" w:rsidRPr="00CA1F1B" w:rsidRDefault="00000000" w:rsidP="00CA1F1B">
      <w:r>
        <w:pict w14:anchorId="6A164E40">
          <v:rect id="_x0000_i1028" style="width:0;height:.75pt" o:hralign="center" o:bullet="t" o:hrstd="t" o:hr="t" fillcolor="#a0a0a0" stroked="f"/>
        </w:pict>
      </w:r>
    </w:p>
    <w:p w14:paraId="70041FB4" w14:textId="482B007D" w:rsidR="00CA1F1B" w:rsidRPr="00CA1F1B" w:rsidRDefault="00CA1F1B" w:rsidP="00CA1F1B">
      <w:pPr>
        <w:rPr>
          <w:b/>
          <w:bCs/>
        </w:rPr>
      </w:pPr>
      <w:r w:rsidRPr="00CA1F1B">
        <w:rPr>
          <w:b/>
          <w:bCs/>
        </w:rPr>
        <w:t>Back</w:t>
      </w:r>
      <w:r w:rsidR="00B130A4">
        <w:rPr>
          <w:b/>
          <w:bCs/>
        </w:rPr>
        <w:t xml:space="preserve"> </w:t>
      </w:r>
      <w:r w:rsidRPr="00CA1F1B">
        <w:rPr>
          <w:b/>
          <w:bCs/>
        </w:rPr>
        <w:t>testing and Performance Evaluation</w:t>
      </w:r>
    </w:p>
    <w:p w14:paraId="69412EA7" w14:textId="70ABC398" w:rsidR="00CA1F1B" w:rsidRPr="00CA1F1B" w:rsidRDefault="00CA1F1B" w:rsidP="00CA1F1B">
      <w:r w:rsidRPr="00CA1F1B">
        <w:t xml:space="preserve">To evaluate realized performance, </w:t>
      </w:r>
      <w:r w:rsidR="00DD64EE">
        <w:t>I</w:t>
      </w:r>
      <w:r w:rsidRPr="00CA1F1B">
        <w:t xml:space="preserve"> downloaded SPY as a benchmark and constructed daily return series for each optimized portfolio by applying the static weights to the underlying stock returns. </w:t>
      </w:r>
      <w:r w:rsidR="00DD64EE">
        <w:t>I</w:t>
      </w:r>
      <w:r w:rsidRPr="00CA1F1B">
        <w:t xml:space="preserve"> then computed standard </w:t>
      </w:r>
      <w:r w:rsidR="00DD64EE" w:rsidRPr="00CA1F1B">
        <w:t>back test</w:t>
      </w:r>
      <w:r w:rsidRPr="00CA1F1B">
        <w:t xml:space="preserve"> metrics over 2015–2025:</w:t>
      </w:r>
      <w:r w:rsidRPr="00CA1F1B">
        <w:rPr>
          <w:rFonts w:ascii="Arial" w:hAnsi="Arial" w:cs="Arial"/>
        </w:rPr>
        <w:t>​</w:t>
      </w:r>
    </w:p>
    <w:p w14:paraId="04A7BD06" w14:textId="41DCDF4E" w:rsidR="00CA1F1B" w:rsidRPr="00CA1F1B" w:rsidRDefault="00CA1F1B" w:rsidP="00CA1F1B">
      <w:pPr>
        <w:numPr>
          <w:ilvl w:val="0"/>
          <w:numId w:val="2"/>
        </w:numPr>
      </w:pPr>
      <w:r w:rsidRPr="00CA1F1B">
        <w:t>Annualized return and volatility.</w:t>
      </w:r>
    </w:p>
    <w:p w14:paraId="320B486D" w14:textId="6193A834" w:rsidR="00CA1F1B" w:rsidRPr="00CA1F1B" w:rsidRDefault="00CA1F1B" w:rsidP="00CA1F1B">
      <w:pPr>
        <w:numPr>
          <w:ilvl w:val="0"/>
          <w:numId w:val="2"/>
        </w:numPr>
      </w:pPr>
      <w:r w:rsidRPr="00CA1F1B">
        <w:t>Sharpe ratio versus a 5% risk</w:t>
      </w:r>
      <w:r w:rsidRPr="00CA1F1B">
        <w:noBreakHyphen/>
        <w:t>free rate.</w:t>
      </w:r>
    </w:p>
    <w:p w14:paraId="75E64EBE" w14:textId="031CDC08" w:rsidR="00CA1F1B" w:rsidRPr="00CA1F1B" w:rsidRDefault="00CA1F1B" w:rsidP="00CA1F1B">
      <w:pPr>
        <w:numPr>
          <w:ilvl w:val="0"/>
          <w:numId w:val="2"/>
        </w:numPr>
      </w:pPr>
      <w:r w:rsidRPr="00CA1F1B">
        <w:t>Maximum drawdown from cumulative returns.</w:t>
      </w:r>
    </w:p>
    <w:p w14:paraId="1F67C45D" w14:textId="70B01FF4" w:rsidR="00CA1F1B" w:rsidRPr="00CA1F1B" w:rsidRDefault="00CA1F1B" w:rsidP="00CA1F1B">
      <w:pPr>
        <w:numPr>
          <w:ilvl w:val="0"/>
          <w:numId w:val="2"/>
        </w:numPr>
      </w:pPr>
      <w:r w:rsidRPr="00CA1F1B">
        <w:t>Total cumulative return over the sample.</w:t>
      </w:r>
      <w:r w:rsidRPr="00CA1F1B">
        <w:rPr>
          <w:rFonts w:ascii="Arial" w:hAnsi="Arial" w:cs="Arial"/>
        </w:rPr>
        <w:t>​</w:t>
      </w:r>
    </w:p>
    <w:p w14:paraId="6AE4E8A4" w14:textId="3A13E244" w:rsidR="00CA1F1B" w:rsidRPr="00CA1F1B" w:rsidRDefault="00DD64EE" w:rsidP="00CA1F1B">
      <w:r>
        <w:t>I</w:t>
      </w:r>
      <w:r w:rsidR="00CA1F1B" w:rsidRPr="00CA1F1B">
        <w:t xml:space="preserve"> also estimated betas by regressing daily stock and portfolio returns on SPY returns, obtaining individual stock betas and overall betas for the Max Sharpe, Min Vol, and 20% Target portfolios. These betas quantify each portfolio’s sensitivity to the market and help interpret their risk profiles.</w:t>
      </w:r>
      <w:r w:rsidR="00CA1F1B" w:rsidRPr="00CA1F1B">
        <w:rPr>
          <w:rFonts w:ascii="Arial" w:hAnsi="Arial" w:cs="Arial"/>
        </w:rPr>
        <w:t>​</w:t>
      </w:r>
    </w:p>
    <w:p w14:paraId="6ABDD901" w14:textId="07A467D1" w:rsidR="00CA1F1B" w:rsidRDefault="00CA1F1B" w:rsidP="00CA1F1B">
      <w:pPr>
        <w:rPr>
          <w:rFonts w:ascii="Arial" w:hAnsi="Arial" w:cs="Arial"/>
        </w:rPr>
      </w:pPr>
      <w:r w:rsidRPr="00CA1F1B">
        <w:lastRenderedPageBreak/>
        <w:t xml:space="preserve">The </w:t>
      </w:r>
      <w:r w:rsidR="008072ED">
        <w:t xml:space="preserve">performance </w:t>
      </w:r>
      <w:r w:rsidRPr="00CA1F1B">
        <w:t>summary table, exported to backtest_summary.csv, consolidates these metrics so that each strategy can be compared directly to SPY on return, volatility, Sharpe ratio, drawdown, total return, and beta.</w:t>
      </w:r>
      <w:r w:rsidRPr="00CA1F1B">
        <w:rPr>
          <w:rFonts w:ascii="Arial" w:hAnsi="Arial" w:cs="Arial"/>
        </w:rPr>
        <w:t>​</w:t>
      </w:r>
    </w:p>
    <w:p w14:paraId="796B0923" w14:textId="354C1E8B" w:rsidR="00DD64EE" w:rsidRDefault="003A1FA9" w:rsidP="00CA1F1B">
      <w:r w:rsidRPr="003A1FA9">
        <w:drawing>
          <wp:anchor distT="0" distB="0" distL="114300" distR="114300" simplePos="0" relativeHeight="251661312" behindDoc="1" locked="0" layoutInCell="1" allowOverlap="1" wp14:anchorId="443C7936" wp14:editId="552C20E8">
            <wp:simplePos x="0" y="0"/>
            <wp:positionH relativeFrom="column">
              <wp:posOffset>0</wp:posOffset>
            </wp:positionH>
            <wp:positionV relativeFrom="paragraph">
              <wp:posOffset>2117</wp:posOffset>
            </wp:positionV>
            <wp:extent cx="5943600" cy="2128520"/>
            <wp:effectExtent l="0" t="0" r="0" b="5080"/>
            <wp:wrapTight wrapText="bothSides">
              <wp:wrapPolygon edited="0">
                <wp:start x="0" y="0"/>
                <wp:lineTo x="0" y="21458"/>
                <wp:lineTo x="21531" y="21458"/>
                <wp:lineTo x="21531" y="0"/>
                <wp:lineTo x="0" y="0"/>
              </wp:wrapPolygon>
            </wp:wrapTight>
            <wp:docPr id="2023393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93773"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128520"/>
                    </a:xfrm>
                    <a:prstGeom prst="rect">
                      <a:avLst/>
                    </a:prstGeom>
                  </pic:spPr>
                </pic:pic>
              </a:graphicData>
            </a:graphic>
            <wp14:sizeRelH relativeFrom="page">
              <wp14:pctWidth>0</wp14:pctWidth>
            </wp14:sizeRelH>
            <wp14:sizeRelV relativeFrom="page">
              <wp14:pctHeight>0</wp14:pctHeight>
            </wp14:sizeRelV>
          </wp:anchor>
        </w:drawing>
      </w:r>
    </w:p>
    <w:p w14:paraId="36ACA348" w14:textId="39BAC290" w:rsidR="002F3C96" w:rsidRDefault="002F3C96" w:rsidP="00CA1F1B">
      <w:r>
        <w:rPr>
          <w:noProof/>
        </w:rPr>
        <w:drawing>
          <wp:inline distT="0" distB="0" distL="0" distR="0" wp14:anchorId="5AA282BF" wp14:editId="74709F8A">
            <wp:extent cx="5943600" cy="2947670"/>
            <wp:effectExtent l="0" t="0" r="0" b="5080"/>
            <wp:docPr id="19201688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47670"/>
                    </a:xfrm>
                    <a:prstGeom prst="rect">
                      <a:avLst/>
                    </a:prstGeom>
                    <a:noFill/>
                    <a:ln>
                      <a:noFill/>
                    </a:ln>
                  </pic:spPr>
                </pic:pic>
              </a:graphicData>
            </a:graphic>
          </wp:inline>
        </w:drawing>
      </w:r>
    </w:p>
    <w:p w14:paraId="103AFE44" w14:textId="1706E81B" w:rsidR="00CA1F1B" w:rsidRPr="00CA1F1B" w:rsidRDefault="008072ED" w:rsidP="00CA1F1B">
      <w:r w:rsidRPr="003E0952">
        <w:lastRenderedPageBreak/>
        <w:drawing>
          <wp:anchor distT="0" distB="0" distL="114300" distR="114300" simplePos="0" relativeHeight="251667456" behindDoc="1" locked="0" layoutInCell="1" allowOverlap="1" wp14:anchorId="13D0B5F1" wp14:editId="7E762F70">
            <wp:simplePos x="0" y="0"/>
            <wp:positionH relativeFrom="margin">
              <wp:align>right</wp:align>
            </wp:positionH>
            <wp:positionV relativeFrom="paragraph">
              <wp:posOffset>5607050</wp:posOffset>
            </wp:positionV>
            <wp:extent cx="5943600" cy="2449195"/>
            <wp:effectExtent l="0" t="0" r="0" b="8255"/>
            <wp:wrapTight wrapText="bothSides">
              <wp:wrapPolygon edited="0">
                <wp:start x="0" y="0"/>
                <wp:lineTo x="0" y="21505"/>
                <wp:lineTo x="21531" y="21505"/>
                <wp:lineTo x="21531" y="0"/>
                <wp:lineTo x="0" y="0"/>
              </wp:wrapPolygon>
            </wp:wrapTight>
            <wp:docPr id="110037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7274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4491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1" locked="0" layoutInCell="1" allowOverlap="1" wp14:anchorId="0AAD66EA" wp14:editId="5EF32B88">
            <wp:simplePos x="0" y="0"/>
            <wp:positionH relativeFrom="margin">
              <wp:align>right</wp:align>
            </wp:positionH>
            <wp:positionV relativeFrom="paragraph">
              <wp:posOffset>3060700</wp:posOffset>
            </wp:positionV>
            <wp:extent cx="5943600" cy="2445385"/>
            <wp:effectExtent l="0" t="0" r="0" b="0"/>
            <wp:wrapTight wrapText="bothSides">
              <wp:wrapPolygon edited="0">
                <wp:start x="0" y="0"/>
                <wp:lineTo x="0" y="21370"/>
                <wp:lineTo x="21531" y="21370"/>
                <wp:lineTo x="21531" y="0"/>
                <wp:lineTo x="0" y="0"/>
              </wp:wrapPolygon>
            </wp:wrapTight>
            <wp:docPr id="1489673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45385"/>
                    </a:xfrm>
                    <a:prstGeom prst="rect">
                      <a:avLst/>
                    </a:prstGeom>
                    <a:noFill/>
                    <a:ln>
                      <a:noFill/>
                    </a:ln>
                  </pic:spPr>
                </pic:pic>
              </a:graphicData>
            </a:graphic>
            <wp14:sizeRelH relativeFrom="page">
              <wp14:pctWidth>0</wp14:pctWidth>
            </wp14:sizeRelH>
            <wp14:sizeRelV relativeFrom="page">
              <wp14:pctHeight>0</wp14:pctHeight>
            </wp14:sizeRelV>
          </wp:anchor>
        </w:drawing>
      </w:r>
      <w:r w:rsidR="002F3C96">
        <w:rPr>
          <w:noProof/>
        </w:rPr>
        <w:drawing>
          <wp:anchor distT="0" distB="0" distL="114300" distR="114300" simplePos="0" relativeHeight="251665408" behindDoc="1" locked="0" layoutInCell="1" allowOverlap="1" wp14:anchorId="436E9229" wp14:editId="070E0685">
            <wp:simplePos x="0" y="0"/>
            <wp:positionH relativeFrom="margin">
              <wp:align>right</wp:align>
            </wp:positionH>
            <wp:positionV relativeFrom="paragraph">
              <wp:posOffset>0</wp:posOffset>
            </wp:positionV>
            <wp:extent cx="5943600" cy="2947670"/>
            <wp:effectExtent l="0" t="0" r="0" b="5080"/>
            <wp:wrapTight wrapText="bothSides">
              <wp:wrapPolygon edited="0">
                <wp:start x="0" y="0"/>
                <wp:lineTo x="0" y="21498"/>
                <wp:lineTo x="21531" y="21498"/>
                <wp:lineTo x="21531" y="0"/>
                <wp:lineTo x="0" y="0"/>
              </wp:wrapPolygon>
            </wp:wrapTight>
            <wp:docPr id="12107155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4767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pict w14:anchorId="37515A03">
          <v:rect id="_x0000_i1029" style="width:0;height:.75pt" o:hralign="center" o:hrstd="t" o:hr="t" fillcolor="#a0a0a0" stroked="f"/>
        </w:pict>
      </w:r>
    </w:p>
    <w:p w14:paraId="423936B1" w14:textId="3A01D3CC" w:rsidR="00CA1F1B" w:rsidRPr="00CA1F1B" w:rsidRDefault="00CA1F1B" w:rsidP="00CA1F1B">
      <w:pPr>
        <w:rPr>
          <w:b/>
          <w:bCs/>
        </w:rPr>
      </w:pPr>
      <w:r w:rsidRPr="00CA1F1B">
        <w:rPr>
          <w:b/>
          <w:bCs/>
        </w:rPr>
        <w:lastRenderedPageBreak/>
        <w:t>Interpretation and Conclusion</w:t>
      </w:r>
    </w:p>
    <w:p w14:paraId="27F402CA" w14:textId="303700B3" w:rsidR="00CA1F1B" w:rsidRPr="00CA1F1B" w:rsidRDefault="00DD64EE" w:rsidP="00CA1F1B">
      <w:r>
        <w:t>The</w:t>
      </w:r>
      <w:r w:rsidR="00CA1F1B" w:rsidRPr="00CA1F1B">
        <w:t xml:space="preserve"> results show clear trade</w:t>
      </w:r>
      <w:r w:rsidR="00CA1F1B" w:rsidRPr="00CA1F1B">
        <w:noBreakHyphen/>
        <w:t>offs. The Max Sharpe portfolio achieved the highest expected and realized return but did so by concentrating almost entirely in NVDA, resulting in very high volatility, beta, and large drawdowns. The Min Volatility portfolio delivered the smoothest ride with the lowest volatility and drawdowns, but at the cost of materially lower return.</w:t>
      </w:r>
      <w:r w:rsidR="00CA1F1B" w:rsidRPr="00CA1F1B">
        <w:rPr>
          <w:rFonts w:ascii="Arial" w:hAnsi="Arial" w:cs="Arial"/>
        </w:rPr>
        <w:t>​</w:t>
      </w:r>
    </w:p>
    <w:p w14:paraId="571BB4BB" w14:textId="08F03DBD" w:rsidR="00CA1F1B" w:rsidRPr="00CA1F1B" w:rsidRDefault="00CA1F1B" w:rsidP="00CA1F1B">
      <w:r w:rsidRPr="00CA1F1B">
        <w:t>The 20% target</w:t>
      </w:r>
      <w:r w:rsidRPr="00CA1F1B">
        <w:noBreakHyphen/>
        <w:t xml:space="preserve">return portfolio emerged as a balanced compromise. It sits on the efficient frontier, offers a significantly higher return profile than the Min Vol portfolio and SPY, and maintains a beta below 1.0 and smaller drawdowns than the extremely concentrated Max Sharpe solution. Based on these quantitative results, </w:t>
      </w:r>
      <w:r w:rsidR="00DD64EE">
        <w:t>I</w:t>
      </w:r>
      <w:r w:rsidRPr="00CA1F1B">
        <w:t xml:space="preserve"> conclude that the 20% target</w:t>
      </w:r>
      <w:r w:rsidRPr="00CA1F1B">
        <w:noBreakHyphen/>
        <w:t>return portfolio is the most reasonable choice for a risk</w:t>
      </w:r>
      <w:r w:rsidRPr="00CA1F1B">
        <w:noBreakHyphen/>
        <w:t xml:space="preserve">aware investor in this universe and that </w:t>
      </w:r>
      <w:r w:rsidR="00D5187F">
        <w:t>the</w:t>
      </w:r>
      <w:r w:rsidRPr="00CA1F1B">
        <w:t xml:space="preserve"> project successfully demonstrates how Markowitz optimization and </w:t>
      </w:r>
      <w:r w:rsidR="00B130A4" w:rsidRPr="00CA1F1B">
        <w:t>back testing</w:t>
      </w:r>
      <w:r w:rsidRPr="00CA1F1B">
        <w:t xml:space="preserve"> can be used together to design and evaluate realistic portfolios.</w:t>
      </w:r>
      <w:r w:rsidRPr="00CA1F1B">
        <w:rPr>
          <w:rFonts w:ascii="Arial" w:hAnsi="Arial" w:cs="Arial"/>
        </w:rPr>
        <w:t>​</w:t>
      </w:r>
    </w:p>
    <w:p w14:paraId="25E4E941" w14:textId="77777777" w:rsidR="00AC3B6F" w:rsidRDefault="00AC3B6F"/>
    <w:sectPr w:rsidR="00AC3B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60C8154E"/>
    <w:multiLevelType w:val="multilevel"/>
    <w:tmpl w:val="18C6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22849CD"/>
    <w:multiLevelType w:val="multilevel"/>
    <w:tmpl w:val="237A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61301922">
    <w:abstractNumId w:val="1"/>
  </w:num>
  <w:num w:numId="2" w16cid:durableId="1179848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F1B"/>
    <w:rsid w:val="001C1E76"/>
    <w:rsid w:val="001F3C94"/>
    <w:rsid w:val="00224AF1"/>
    <w:rsid w:val="002C55A7"/>
    <w:rsid w:val="002F3C96"/>
    <w:rsid w:val="003A1FA9"/>
    <w:rsid w:val="003E0952"/>
    <w:rsid w:val="0049554C"/>
    <w:rsid w:val="00596709"/>
    <w:rsid w:val="008072ED"/>
    <w:rsid w:val="0082443D"/>
    <w:rsid w:val="008C69EC"/>
    <w:rsid w:val="008E5E2A"/>
    <w:rsid w:val="00A36B4A"/>
    <w:rsid w:val="00AC3B6F"/>
    <w:rsid w:val="00B130A4"/>
    <w:rsid w:val="00B8729B"/>
    <w:rsid w:val="00C364B6"/>
    <w:rsid w:val="00CA1F1B"/>
    <w:rsid w:val="00D057BB"/>
    <w:rsid w:val="00D5187F"/>
    <w:rsid w:val="00DD64EE"/>
    <w:rsid w:val="00F75B52"/>
  </w:rsids>
  <m:mathPr>
    <m:mathFont m:val="Cambria Math"/>
    <m:brkBin m:val="before"/>
    <m:brkBinSub m:val="--"/>
    <m:smallFrac m:val="0"/>
    <m:dispDef/>
    <m:lMargin m:val="0"/>
    <m:rMargin m:val="0"/>
    <m:defJc m:val="centerGroup"/>
    <m:wrapIndent m:val="1440"/>
    <m:intLim m:val="subSup"/>
    <m:naryLim m:val="undOvr"/>
  </m:mathPr>
  <w:themeFontLang w:val="en-CA"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4D05"/>
  <w15:chartTrackingRefBased/>
  <w15:docId w15:val="{B5A22530-18ED-4DC9-8CD4-41F1905D6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CA"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F1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A1F1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A1F1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A1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F1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A1F1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A1F1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A1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F1B"/>
    <w:rPr>
      <w:rFonts w:eastAsiaTheme="majorEastAsia" w:cstheme="majorBidi"/>
      <w:color w:val="272727" w:themeColor="text1" w:themeTint="D8"/>
    </w:rPr>
  </w:style>
  <w:style w:type="paragraph" w:styleId="Title">
    <w:name w:val="Title"/>
    <w:basedOn w:val="Normal"/>
    <w:next w:val="Normal"/>
    <w:link w:val="TitleChar"/>
    <w:uiPriority w:val="10"/>
    <w:qFormat/>
    <w:rsid w:val="00CA1F1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1F1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1F1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1F1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1F1B"/>
    <w:pPr>
      <w:spacing w:before="160"/>
      <w:jc w:val="center"/>
    </w:pPr>
    <w:rPr>
      <w:i/>
      <w:iCs/>
      <w:color w:val="404040" w:themeColor="text1" w:themeTint="BF"/>
    </w:rPr>
  </w:style>
  <w:style w:type="character" w:customStyle="1" w:styleId="QuoteChar">
    <w:name w:val="Quote Char"/>
    <w:basedOn w:val="DefaultParagraphFont"/>
    <w:link w:val="Quote"/>
    <w:uiPriority w:val="29"/>
    <w:rsid w:val="00CA1F1B"/>
    <w:rPr>
      <w:i/>
      <w:iCs/>
      <w:color w:val="404040" w:themeColor="text1" w:themeTint="BF"/>
    </w:rPr>
  </w:style>
  <w:style w:type="paragraph" w:styleId="ListParagraph">
    <w:name w:val="List Paragraph"/>
    <w:basedOn w:val="Normal"/>
    <w:uiPriority w:val="34"/>
    <w:qFormat/>
    <w:rsid w:val="00CA1F1B"/>
    <w:pPr>
      <w:ind w:left="720"/>
      <w:contextualSpacing/>
    </w:pPr>
  </w:style>
  <w:style w:type="character" w:styleId="IntenseEmphasis">
    <w:name w:val="Intense Emphasis"/>
    <w:basedOn w:val="DefaultParagraphFont"/>
    <w:uiPriority w:val="21"/>
    <w:qFormat/>
    <w:rsid w:val="00CA1F1B"/>
    <w:rPr>
      <w:i/>
      <w:iCs/>
      <w:color w:val="0F4761" w:themeColor="accent1" w:themeShade="BF"/>
    </w:rPr>
  </w:style>
  <w:style w:type="paragraph" w:styleId="IntenseQuote">
    <w:name w:val="Intense Quote"/>
    <w:basedOn w:val="Normal"/>
    <w:next w:val="Normal"/>
    <w:link w:val="IntenseQuoteChar"/>
    <w:uiPriority w:val="30"/>
    <w:qFormat/>
    <w:rsid w:val="00CA1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F1B"/>
    <w:rPr>
      <w:i/>
      <w:iCs/>
      <w:color w:val="0F4761" w:themeColor="accent1" w:themeShade="BF"/>
    </w:rPr>
  </w:style>
  <w:style w:type="character" w:styleId="IntenseReference">
    <w:name w:val="Intense Reference"/>
    <w:basedOn w:val="DefaultParagraphFont"/>
    <w:uiPriority w:val="32"/>
    <w:qFormat/>
    <w:rsid w:val="00CA1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8</Pages>
  <Words>836</Words>
  <Characters>4767</Characters>
  <Application>Microsoft Office Word</Application>
  <DocSecurity>0</DocSecurity>
  <Lines>39</Lines>
  <Paragraphs>11</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Jiraphat Samutsakorn</dc:creator>
  <cp:keywords/>
  <dc:description/>
  <cp:lastModifiedBy>Jiraphat Samutsakorn</cp:lastModifiedBy>
  <cp:revision>19</cp:revision>
  <dcterms:created xsi:type="dcterms:W3CDTF">2026-03-12T20:31:00Z</dcterms:created>
  <dcterms:modified xsi:type="dcterms:W3CDTF">2026-03-12T23:22:00Z</dcterms:modified>
</cp:coreProperties>
</file>