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25A"/>
          <w:sz w:val="48"/>
        </w:rPr>
        <w:t>AWS Deployment Guide</w:t>
        <w:br/>
        <w:t>for Milestone 2</w:t>
      </w:r>
    </w:p>
    <w:p>
      <w:pPr>
        <w:jc w:val="center"/>
      </w:pPr>
      <w:r>
        <w:rPr>
          <w:i/>
          <w:color w:val="5A5A5A"/>
          <w:sz w:val="22"/>
        </w:rPr>
        <w:t>Platform builder deployment blueprint for the hardened Milestone 1 foundation plus the completed Milestone 2 generator.</w:t>
      </w:r>
    </w:p>
    <w:tbl>
      <w:tblPr>
        <w:tblStyle w:val="TableGrid"/>
        <w:tblW w:type="auto" w:w="0"/>
        <w:jc w:val="center"/>
        <w:tblLayout w:type="fixed"/>
        <w:tblLook w:firstColumn="1" w:firstRow="1" w:lastColumn="0" w:lastRow="0" w:noHBand="0" w:noVBand="1" w:val="04A0"/>
      </w:tblPr>
      <w:tblGrid>
        <w:gridCol w:w="2438"/>
        <w:gridCol w:w="6690"/>
      </w:tblGrid>
      <w:tr>
        <w:tc>
          <w:tcPr>
            <w:tcW w:type="dxa" w:w="4986"/>
            <w:vAlign w:val="center"/>
            <w:tcMar>
              <w:top w:w="80" w:type="dxa"/>
              <w:start w:w="90" w:type="dxa"/>
              <w:bottom w:w="80" w:type="dxa"/>
              <w:end w:w="90" w:type="dxa"/>
            </w:tcMar>
            <w:shd w:fill="EAF2F8"/>
          </w:tcPr>
          <w:p>
            <w:pPr>
              <w:spacing w:before="40" w:after="40" w:line="252" w:lineRule="auto"/>
              <w:jc w:val="center"/>
            </w:pPr>
            <w:r>
              <w:rPr>
                <w:rFonts w:ascii="Aptos" w:hAnsi="Aptos"/>
                <w:b/>
                <w:color w:val="000000"/>
                <w:sz w:val="19"/>
              </w:rPr>
              <w:t>Primary runtime</w:t>
            </w:r>
          </w:p>
        </w:tc>
        <w:tc>
          <w:tcPr>
            <w:tcW w:type="dxa" w:w="4986"/>
            <w:vAlign w:val="center"/>
            <w:tcMar>
              <w:top w:w="80" w:type="dxa"/>
              <w:start w:w="90" w:type="dxa"/>
              <w:bottom w:w="80" w:type="dxa"/>
              <w:end w:w="90" w:type="dxa"/>
            </w:tcMar>
            <w:shd w:fill="EAF2F8"/>
          </w:tcPr>
          <w:p>
            <w:pPr>
              <w:spacing w:before="40" w:after="40" w:line="252" w:lineRule="auto"/>
              <w:jc w:val="center"/>
            </w:pPr>
            <w:r>
              <w:rPr>
                <w:rFonts w:ascii="Aptos" w:hAnsi="Aptos"/>
                <w:b/>
                <w:color w:val="000000"/>
                <w:sz w:val="19"/>
              </w:rPr>
              <w:t>EC2 for web-platform, api-platform, and worker</w:t>
            </w:r>
          </w:p>
        </w:tc>
      </w:tr>
      <w:tr>
        <w:tc>
          <w:tcPr>
            <w:tcW w:type="dxa" w:w="4986"/>
            <w:vAlign w:val="center"/>
            <w:tcMar>
              <w:top w:w="80" w:type="dxa"/>
              <w:start w:w="90" w:type="dxa"/>
              <w:bottom w:w="80" w:type="dxa"/>
              <w:end w:w="90" w:type="dxa"/>
            </w:tcMar>
          </w:tcPr>
          <w:p>
            <w:pPr>
              <w:spacing w:before="40" w:after="40" w:line="252" w:lineRule="auto"/>
            </w:pPr>
            <w:r>
              <w:rPr>
                <w:rFonts w:ascii="Aptos" w:hAnsi="Aptos"/>
                <w:sz w:val="19"/>
              </w:rPr>
              <w:t>Managed state</w:t>
            </w:r>
          </w:p>
        </w:tc>
        <w:tc>
          <w:tcPr>
            <w:tcW w:type="dxa" w:w="4986"/>
            <w:vAlign w:val="center"/>
            <w:tcMar>
              <w:top w:w="80" w:type="dxa"/>
              <w:start w:w="90" w:type="dxa"/>
              <w:bottom w:w="80" w:type="dxa"/>
              <w:end w:w="90" w:type="dxa"/>
            </w:tcMar>
          </w:tcPr>
          <w:p>
            <w:pPr>
              <w:spacing w:before="40" w:after="40" w:line="252" w:lineRule="auto"/>
            </w:pPr>
            <w:r>
              <w:rPr>
                <w:rFonts w:ascii="Aptos" w:hAnsi="Aptos"/>
                <w:sz w:val="19"/>
              </w:rPr>
              <w:t>Aurora PostgreSQL for platform data; ElastiCache for BullMQ/Redis; S3 for generated artifacts</w:t>
            </w:r>
          </w:p>
        </w:tc>
      </w:tr>
      <w:tr>
        <w:tc>
          <w:tcPr>
            <w:tcW w:type="dxa" w:w="4986"/>
            <w:vAlign w:val="center"/>
            <w:tcMar>
              <w:top w:w="80" w:type="dxa"/>
              <w:start w:w="90" w:type="dxa"/>
              <w:bottom w:w="80" w:type="dxa"/>
              <w:end w:w="90" w:type="dxa"/>
            </w:tcMar>
          </w:tcPr>
          <w:p>
            <w:pPr>
              <w:spacing w:before="40" w:after="40" w:line="252" w:lineRule="auto"/>
            </w:pPr>
            <w:r>
              <w:rPr>
                <w:rFonts w:ascii="Aptos" w:hAnsi="Aptos"/>
                <w:sz w:val="19"/>
              </w:rPr>
              <w:t>Edge / ingress</w:t>
            </w:r>
          </w:p>
        </w:tc>
        <w:tc>
          <w:tcPr>
            <w:tcW w:type="dxa" w:w="4986"/>
            <w:vAlign w:val="center"/>
            <w:tcMar>
              <w:top w:w="80" w:type="dxa"/>
              <w:start w:w="90" w:type="dxa"/>
              <w:bottom w:w="80" w:type="dxa"/>
              <w:end w:w="90" w:type="dxa"/>
            </w:tcMar>
          </w:tcPr>
          <w:p>
            <w:pPr>
              <w:spacing w:before="40" w:after="40" w:line="252" w:lineRule="auto"/>
            </w:pPr>
            <w:r>
              <w:rPr>
                <w:rFonts w:ascii="Aptos" w:hAnsi="Aptos"/>
                <w:sz w:val="19"/>
              </w:rPr>
              <w:t>Application Load Balancer with HTTPS via ACM</w:t>
            </w:r>
          </w:p>
        </w:tc>
      </w:tr>
      <w:tr>
        <w:tc>
          <w:tcPr>
            <w:tcW w:type="dxa" w:w="4986"/>
            <w:vAlign w:val="center"/>
            <w:tcMar>
              <w:top w:w="80" w:type="dxa"/>
              <w:start w:w="90" w:type="dxa"/>
              <w:bottom w:w="80" w:type="dxa"/>
              <w:end w:w="90" w:type="dxa"/>
            </w:tcMar>
          </w:tcPr>
          <w:p>
            <w:pPr>
              <w:spacing w:before="40" w:after="40" w:line="252" w:lineRule="auto"/>
            </w:pPr>
            <w:r>
              <w:rPr>
                <w:rFonts w:ascii="Aptos" w:hAnsi="Aptos"/>
                <w:sz w:val="19"/>
              </w:rPr>
              <w:t>Important note</w:t>
            </w:r>
          </w:p>
        </w:tc>
        <w:tc>
          <w:tcPr>
            <w:tcW w:type="dxa" w:w="4986"/>
            <w:vAlign w:val="center"/>
            <w:tcMar>
              <w:top w:w="80" w:type="dxa"/>
              <w:start w:w="90" w:type="dxa"/>
              <w:bottom w:w="80" w:type="dxa"/>
              <w:end w:w="90" w:type="dxa"/>
            </w:tcMar>
          </w:tcPr>
          <w:p>
            <w:pPr>
              <w:spacing w:before="40" w:after="40" w:line="252" w:lineRule="auto"/>
            </w:pPr>
            <w:r>
              <w:rPr>
                <w:rFonts w:ascii="Aptos" w:hAnsi="Aptos"/>
                <w:sz w:val="19"/>
              </w:rPr>
              <w:t>Laravel Vapor is a serverless platform for Laravel on AWS Lambda. This Milestone 2 codebase is a Next.js + Express + BullMQ stack, so Vapor is not the primary deployment vehicle for the current architecture.</w:t>
            </w:r>
          </w:p>
        </w:tc>
      </w:tr>
    </w:tbl>
    <w:p/>
    <w:p>
      <w:pPr>
        <w:pStyle w:val="Heading1"/>
      </w:pPr>
      <w:r>
        <w:t>1. Deployment target and final AWS architecture</w:t>
      </w:r>
    </w:p>
    <w:p>
      <w:pPr>
        <w:spacing w:after="120"/>
      </w:pPr>
      <w:r>
        <w:t>Deploy the Milestone 2 control plane on AWS as a multi-tier Node.js platform. Use EC2 for the long-running application processes, Aurora PostgreSQL for relational state, ElastiCache for Redis-backed BullMQ queues, S3 for generated application ZIP artifacts, and an Application Load Balancer for HTTPS ingress. Vapor can still be used later for a separate Laravel service, but it is not the right primary runtime for the current repository because Vapor is designed for Laravel on AWS Lambda. citeturn0search1turn0search13turn0search21</w:t>
      </w:r>
    </w:p>
    <w:p>
      <w:pPr>
        <w:spacing w:after="120"/>
      </w:pPr>
      <w:r>
        <w:t>The target production topology is: users hit an ALB over HTTPS; the ALB forwards requests to EC2 instances running the web-platform and api-platform; the worker consumes BullMQ jobs through Redis in ElastiCache; the platform stores project/spec/version/job data in Aurora PostgreSQL; generated artifacts are pushed to S3 and downloaded through controlled API endpoints; security groups restrict traffic so only the ALB can reach public-facing ports and only application nodes can reach Aurora and Redis. Application Load Balancers route requests to registered targets and use target groups with health checks, while Aurora PostgreSQL is a managed PostgreSQL-compatible engine and ElastiCache provides the managed in-memory Redis layer for job queues. citeturn0search16turn0search12turn0search22turn0search6turn0search19</w:t>
      </w:r>
    </w:p>
    <w:p>
      <w:pPr>
        <w:pStyle w:val="Heading1"/>
      </w:pPr>
      <w:r>
        <w:t>2. What Milestone 2 must deploy</w:t>
      </w:r>
    </w:p>
    <w:p>
      <w:pPr>
        <w:spacing w:after="120"/>
      </w:pPr>
      <w:r>
        <w:t>Before provisioning AWS, freeze the exact application scope you are deploying. Milestone 2 includes the web control plane, API platform, worker, database package, App Spec package, generator package, templates package, and the generated-apps output path. It also includes the generator’s ability to produce frontend, backend, database, admin, and mobile baseline artifacts.</w:t>
      </w:r>
    </w:p>
    <w:p>
      <w:pPr>
        <w:spacing w:after="120"/>
      </w:pPr>
      <w:r>
        <w:t>Operationally, there are two data planes: the platform plane and the generated-artifact plane. The platform plane is the live control system that manages organizations, projects, versions, jobs, audit data, invites, refresh tokens, and queue execution. The artifact plane stores the ZIP outputs and manifests produced by the generator. Keep these concerns separate from day one: Aurora handles platform state; S3 handles artifact storage.</w:t>
      </w:r>
    </w:p>
    <w:p>
      <w:pPr>
        <w:pStyle w:val="Heading1"/>
      </w:pPr>
      <w:r>
        <w:t>3. Recommended AWS account and network preparation</w:t>
      </w:r>
    </w:p>
    <w:p>
      <w:pPr>
        <w:spacing w:after="120"/>
      </w:pPr>
      <w:r>
        <w:t>Create a dedicated AWS account or at least a separate environment boundary for this platform. Use IAM users or roles instead of the root user for daily work, and follow the AWS setup guidance for administrative access. ElastiCache setup documentation explicitly recommends creating an administrative user rather than using the root user for everyday tasks. citeturn0search3</w:t>
      </w:r>
    </w:p>
    <w:p>
      <w:pPr>
        <w:spacing w:after="120"/>
      </w:pPr>
      <w:r>
        <w:t>Create a VPC with at least two public subnets and two private subnets across two Availability Zones. Place the ALB in public subnets. Place EC2 instances, Aurora, and ElastiCache in private subnets. If you need outbound internet access for patching or dependency installation from private instances, add a NAT gateway or use a build pipeline that publishes prebuilt artifacts. Keep Aurora non-public. AWS tutorials for PostgreSQL and Aurora both emphasize private database deployment within a VPC as a best practice. citeturn0search18turn0search10</w:t>
      </w:r>
    </w:p>
    <w:p>
      <w:pPr>
        <w:spacing w:after="120"/>
      </w:pPr>
      <w:r>
        <w:t>Define these security groups: alb-sg, app-sg, db-sg, and redis-sg. Allow 443 inbound to alb-sg from the internet. Allow app ports from alb-sg to app-sg. Allow 5432 from app-sg to db-sg. Allow 6379 from app-sg to redis-sg. Do not allow direct internet ingress to app, database, or Redis nodes.</w:t>
      </w:r>
    </w:p>
    <w:p>
      <w:pPr>
        <w:pStyle w:val="Heading1"/>
      </w:pPr>
      <w:r>
        <w:t>4. Decide the EC2 runtime shape</w:t>
      </w:r>
    </w:p>
    <w:p>
      <w:pPr>
        <w:spacing w:after="120"/>
      </w:pPr>
      <w:r>
        <w:t>Use EC2 because Milestone 2 has long-running Node processes: Next.js web-platform, Express api-platform, and BullMQ worker. A simple production shape is either one EC2 Auto Scaling Group with one or more application instances, or two logical EC2 groups if you want the worker isolated from web/API load. For an MVP, one application ASG with separate systemd services on each instance is acceptable; for stronger isolation, use one ASG for web/API and one ASG for workers.</w:t>
      </w:r>
    </w:p>
    <w:p>
      <w:pPr>
        <w:spacing w:after="120"/>
      </w:pPr>
      <w:r>
        <w:t>Recommended software layout on each application node: Node.js LTS, pnpm, Nginx as reverse proxy if desired, systemd service units for web-platform, api-platform, and worker, plus CloudWatch agent for logs. Keep the worker as a separate service even if it initially runs on the same host family.</w:t>
      </w:r>
    </w:p>
    <w:p>
      <w:pPr>
        <w:pStyle w:val="Heading1"/>
      </w:pPr>
      <w:r>
        <w:t>5. Provision Aurora PostgreSQL</w:t>
      </w:r>
    </w:p>
    <w:p>
      <w:pPr>
        <w:spacing w:after="120"/>
      </w:pPr>
      <w:r>
        <w:t>Create an Aurora PostgreSQL cluster in private subnets. Aurora is PostgreSQL-compatible and managed by Amazon RDS, which fits the platform’s Prisma-based relational model well. Use one writer instance and, if needed later, add readers. AWS documents Aurora as a fully managed PostgreSQL-compatible engine. citeturn0search22turn0search6</w:t>
      </w:r>
    </w:p>
    <w:p>
      <w:pPr>
        <w:spacing w:after="120"/>
      </w:pPr>
      <w:r>
        <w:t>Set the database security group to accept connections only from the application security group. Store the connection string in AWS Systems Manager Parameter Store or AWS Secrets Manager. Do not hard-code the database URL in deployment scripts. After provisioning, validate that your EC2 instances can reach the Aurora cluster endpoint before deploying application code.</w:t>
      </w:r>
    </w:p>
    <w:p>
      <w:pPr>
        <w:pStyle w:val="Heading1"/>
      </w:pPr>
      <w:r>
        <w:t>6. Provision ElastiCache for Redis / BullMQ</w:t>
      </w:r>
    </w:p>
    <w:p>
      <w:pPr>
        <w:spacing w:after="120"/>
      </w:pPr>
      <w:r>
        <w:t>Create an ElastiCache Redis deployment for BullMQ. This can be either serverless Redis OSS or a node-based cluster, depending on cost, control, and operational preferences. AWS supports both managed Redis options and provides separate getting-started flows for serverless and cluster-based usage. citeturn0search19turn0search7turn0search15</w:t>
      </w:r>
    </w:p>
    <w:p>
      <w:pPr>
        <w:spacing w:after="120"/>
      </w:pPr>
      <w:r>
        <w:t>Restrict access so only application instances can reach Redis. Point the platform REDIS_URL to the ElastiCache endpoint. After provisioning, run a connectivity check from an EC2 instance and verify the worker can establish a Redis connection with no public exposure.</w:t>
      </w:r>
    </w:p>
    <w:p>
      <w:pPr>
        <w:pStyle w:val="Heading1"/>
      </w:pPr>
      <w:r>
        <w:t>7. Provision S3 for artifacts and backups</w:t>
      </w:r>
    </w:p>
    <w:p>
      <w:pPr>
        <w:spacing w:after="120"/>
      </w:pPr>
      <w:r>
        <w:t>Create a dedicated S3 bucket for Milestone 2 generated artifacts. Recommended prefixes: artifacts/, manifests/, backups/, and logs/ if you decide to archive exported logs. Configure versioning and server-side encryption. Update the platform so generated ZIP artifacts are written to S3 instead of relying on local disk retention as the final storage target.</w:t>
      </w:r>
    </w:p>
    <w:p>
      <w:pPr>
        <w:spacing w:after="120"/>
      </w:pPr>
      <w:r>
        <w:t>Also create a second optional bucket for deployment bundles or build artifacts if you are not using a CI/CD pipeline with its own storage. Keep artifact URLs private and serve downloads through signed URLs or controlled API routes.</w:t>
      </w:r>
    </w:p>
    <w:p>
      <w:pPr>
        <w:pStyle w:val="Heading1"/>
      </w:pPr>
      <w:r>
        <w:t>8. Provision the Application Load Balancer and TLS</w:t>
      </w:r>
    </w:p>
    <w:p>
      <w:pPr>
        <w:spacing w:after="120"/>
      </w:pPr>
      <w:r>
        <w:t>Create an Application Load Balancer in the public subnets. ALBs use listeners and target groups, and target groups perform health checks against registered targets. Configure one HTTPS listener on port 443 with an ACM certificate. Configure at least one target group for the Node application layer; if you split web and API at the ingress layer, create separate target groups and route by host or path. citeturn0search16turn0search12turn0search4</w:t>
      </w:r>
    </w:p>
    <w:p>
      <w:pPr>
        <w:spacing w:after="120"/>
      </w:pPr>
      <w:r>
        <w:t>Recommended routing for simplicity: use one public domain for the web platform and reverse-proxy API requests under /api to the Express service behind the same application node. An alternative is two hostnames such as app.example.com and api.example.com, with distinct target groups. In both cases, health checks should hit stable endpoints such as /api/health for the API and / for the web node, depending on how Nginx or the ALB routes traffic.</w:t>
      </w:r>
    </w:p>
    <w:p>
      <w:pPr>
        <w:pStyle w:val="Heading1"/>
      </w:pPr>
      <w:r>
        <w:t>9. Prepare the repository for production deployment</w:t>
      </w:r>
    </w:p>
    <w:p>
      <w:pPr>
        <w:spacing w:after="120"/>
      </w:pPr>
      <w:r>
        <w:t>From the Milestone 2 hardened repository, create a production deployment branch. Lock your package versions. Confirm that the repo includes the Milestone 1 hardened foundation plus Milestone 2 Pack 1, Pack 2, and Pack 3 contents. Run the full validation locally first: pnpm install, Prisma generate, Prisma migrate, tests, and an end-to-end generator run that produces a ZIP artifact.</w:t>
      </w:r>
    </w:p>
    <w:p>
      <w:pPr>
        <w:spacing w:after="120"/>
      </w:pPr>
      <w:r>
        <w:t>Add production environment templates for web-platform, api-platform, worker, and any shared configuration consumed through process.env. Keep the EC2 deployment focused on the control plane, not on running the generated applications themselves inside the same runtime.</w:t>
      </w:r>
    </w:p>
    <w:p>
      <w:pPr>
        <w:pStyle w:val="Heading1"/>
      </w:pPr>
      <w:r>
        <w:t>10. Define environment variables</w:t>
      </w:r>
    </w:p>
    <w:p>
      <w:pPr>
        <w:spacing w:after="120"/>
      </w:pPr>
      <w:r>
        <w:t>At minimum, prepare these environment variables for the platform services: DATABASE_URL, REDIS_URL, JWT_SECRET, PORT, NEXT_PUBLIC_API_URL or the equivalent public API base, NODE_ENV, COOKIE_DOMAIN, and the S3 bucket name used for artifact storage. If you use Secrets Manager or Parameter Store, fetch them during instance boot or systemd startup through an environment file.</w:t>
      </w:r>
    </w:p>
    <w:p>
      <w:pPr>
        <w:spacing w:after="120"/>
      </w:pPr>
      <w:r>
        <w:t>Maintain separate environment files or parameter namespaces for production and staging. Keep secrets out of the Git repository. Store JWT secrets, database credentials, and Redis credentials only in AWS-managed secret stores or encrypted instance configuration.</w:t>
      </w:r>
    </w:p>
    <w:p>
      <w:pPr>
        <w:pStyle w:val="Heading1"/>
      </w:pPr>
      <w:r>
        <w:t>11. Build and ship the application onto EC2</w:t>
      </w:r>
    </w:p>
    <w:p>
      <w:pPr>
        <w:spacing w:after="120"/>
      </w:pPr>
      <w:r>
        <w:t>Use one of two deployment patterns. Pattern A: build directly on the instance by pulling the repository and running pnpm install and build commands. Pattern B: build in CI, produce deployable artifacts, and copy those artifacts to EC2. Pattern B is cleaner for repeatability and scaling, but Pattern A is acceptable for the first AWS rollout.</w:t>
      </w:r>
    </w:p>
    <w:p>
      <w:pPr>
        <w:spacing w:after="120"/>
      </w:pPr>
      <w:r>
        <w:t>On each application node, place the repository under a controlled path such as /opt/platform. Install dependencies, run the build, generate Prisma client, and run database migrations from the API layer before starting services. Because the platform uses multiple packages and apps, the simplest operational model is to start web-platform, api-platform, and worker as separate systemd units.</w:t>
      </w:r>
    </w:p>
    <w:p>
      <w:pPr>
        <w:pStyle w:val="Heading1"/>
      </w:pPr>
      <w:r>
        <w:t>12. Configure process supervision</w:t>
      </w:r>
    </w:p>
    <w:p>
      <w:pPr>
        <w:spacing w:after="120"/>
      </w:pPr>
      <w:r>
        <w:t>Create systemd unit files for each service: web-platform.service, api-platform.service, and worker.service. Set restart=always, load an environment file, and point ExecStart to the correct built command. This is important because the worker must remain up for BullMQ processing and the API and web layers must restart cleanly after reboots or failed deployments.</w:t>
      </w:r>
    </w:p>
    <w:p>
      <w:pPr>
        <w:spacing w:after="120"/>
      </w:pPr>
      <w:r>
        <w:t>If you front the Node services with Nginx, Nginx proxies incoming requests from localhost ports to the right internal service ports. If you do not use Nginx, the ALB can forward directly to the application port, but a local reverse proxy still makes service layout and path routing easier.</w:t>
      </w:r>
    </w:p>
    <w:p>
      <w:pPr>
        <w:pStyle w:val="Heading1"/>
      </w:pPr>
      <w:r>
        <w:t>13. Run Prisma migrations safely</w:t>
      </w:r>
    </w:p>
    <w:p>
      <w:pPr>
        <w:spacing w:after="120"/>
      </w:pPr>
      <w:r>
        <w:t>Once Aurora is reachable and the api-platform package has the correct DATABASE_URL, run Prisma generate and Prisma migrate against the production database. Back up the database or take an Aurora snapshot before applying schema changes in production.</w:t>
      </w:r>
    </w:p>
    <w:p>
      <w:pPr>
        <w:spacing w:after="120"/>
      </w:pPr>
      <w:r>
        <w:t>For first deployment: create the schema cleanly, seed only what is necessary, and verify read/write behavior through the health flow and a smoke test user. Never run ad hoc destructive migration commands directly on production without a snapshot or rollback plan.</w:t>
      </w:r>
    </w:p>
    <w:p>
      <w:pPr>
        <w:pStyle w:val="Heading1"/>
      </w:pPr>
      <w:r>
        <w:t>14. Configure application storage behavior</w:t>
      </w:r>
    </w:p>
    <w:p>
      <w:pPr>
        <w:spacing w:after="120"/>
      </w:pPr>
      <w:r>
        <w:t>Milestone 2 generates artifacts as ZIP files. For AWS production, modify the final storage path so artifacts are uploaded to S3 after generation and metadata in Aurora points to S3 object keys rather than relying solely on a local artifact path. Local ephemeral disk on EC2 is fine for temporary staging, but S3 should be the source of truth for retention, download, and backup.</w:t>
      </w:r>
    </w:p>
    <w:p>
      <w:pPr>
        <w:spacing w:after="120"/>
      </w:pPr>
      <w:r>
        <w:t>Keep the generated-apps local folder for transient worker processing only. After upload succeeds, clean local temp files or rotate them aggressively to avoid disk bloat.</w:t>
      </w:r>
    </w:p>
    <w:p>
      <w:pPr>
        <w:pStyle w:val="Heading1"/>
      </w:pPr>
      <w:r>
        <w:t>15. Wire domains and DNS</w:t>
      </w:r>
    </w:p>
    <w:p>
      <w:pPr>
        <w:spacing w:after="120"/>
      </w:pPr>
      <w:r>
        <w:t>Use Route 53 or your current DNS provider to map the public hostname to the ALB. Recommended pattern: app.yourdomain.com for the control plane. If you expose the API separately, map api.yourdomain.com to the same ALB and use host-based routing. Attach the ACM certificate to the HTTPS listener and redirect HTTP to HTTPS.</w:t>
      </w:r>
    </w:p>
    <w:p>
      <w:pPr>
        <w:spacing w:after="120"/>
      </w:pPr>
      <w:r>
        <w:t>Test certificate attachment, DNS propagation, ALB health checks, and application reachability before opening access to users.</w:t>
      </w:r>
    </w:p>
    <w:p>
      <w:pPr>
        <w:pStyle w:val="Heading1"/>
      </w:pPr>
      <w:r>
        <w:t>16. Logging, monitoring, and alerts</w:t>
      </w:r>
    </w:p>
    <w:p>
      <w:pPr>
        <w:spacing w:after="120"/>
      </w:pPr>
      <w:r>
        <w:t>Send web, API, and worker logs to CloudWatch Logs. Separate log groups by service. Add alarms for instance CPU, memory if collected through CloudWatch agent, ALB 5xx rates, Aurora connectivity failures, Redis connectivity failures, and worker job failure spikes.</w:t>
      </w:r>
    </w:p>
    <w:p>
      <w:pPr>
        <w:spacing w:after="120"/>
      </w:pPr>
      <w:r>
        <w:t>The worker is especially important: monitor queue backlog, failed jobs, and generation duration. Even if you start with simple log-based visibility, create an operational dashboard early.</w:t>
      </w:r>
    </w:p>
    <w:p>
      <w:pPr>
        <w:pStyle w:val="Heading1"/>
      </w:pPr>
      <w:r>
        <w:t>17. Security hardening checklist</w:t>
      </w:r>
    </w:p>
    <w:p>
      <w:pPr>
        <w:spacing w:after="120"/>
      </w:pPr>
      <w:r>
        <w:t>Use least-privilege IAM roles for EC2 instance profiles. Lock down security groups. Keep Aurora and Redis private. Use HTTPS only at the edge. Store secrets in Secrets Manager or Parameter Store. Patch the AMI regularly. Restrict SSH access by IP or use AWS Systems Manager Session Manager instead of broad SSH exposure.</w:t>
      </w:r>
    </w:p>
    <w:p>
      <w:pPr>
        <w:spacing w:after="120"/>
      </w:pPr>
      <w:r>
        <w:t>Enable S3 bucket encryption and, if appropriate, bucket policies that only allow access from the platform role. Rotate JWT secrets through a controlled process. Audit who can access production artifacts, because generated ZIPs may include business logic, configuration, and user-defined app structures.</w:t>
      </w:r>
    </w:p>
    <w:p>
      <w:pPr>
        <w:pStyle w:val="Heading1"/>
      </w:pPr>
      <w:r>
        <w:t>18. Deployment order: exact step-by-step sequence</w:t>
      </w:r>
    </w:p>
    <w:p>
      <w:pPr>
        <w:spacing w:after="120"/>
      </w:pPr>
      <w:r>
        <w:t>Step 1: Create or select the AWS account and region.</w:t>
      </w:r>
    </w:p>
    <w:p>
      <w:pPr>
        <w:spacing w:after="120"/>
      </w:pPr>
      <w:r>
        <w:t>Step 2: Build the VPC with public and private subnets across at least two Availability Zones.</w:t>
      </w:r>
    </w:p>
    <w:p>
      <w:pPr>
        <w:spacing w:after="120"/>
      </w:pPr>
      <w:r>
        <w:t>Step 3: Create security groups for ALB, application nodes, Aurora, and Redis.</w:t>
      </w:r>
    </w:p>
    <w:p>
      <w:pPr>
        <w:spacing w:after="120"/>
      </w:pPr>
      <w:r>
        <w:t>Step 4: Provision Aurora PostgreSQL in private subnets.</w:t>
      </w:r>
    </w:p>
    <w:p>
      <w:pPr>
        <w:spacing w:after="120"/>
      </w:pPr>
      <w:r>
        <w:t>Step 5: Provision ElastiCache Redis in private subnets.</w:t>
      </w:r>
    </w:p>
    <w:p>
      <w:pPr>
        <w:spacing w:after="120"/>
      </w:pPr>
      <w:r>
        <w:t>Step 6: Create the S3 artifact bucket with encryption and versioning.</w:t>
      </w:r>
    </w:p>
    <w:p>
      <w:pPr>
        <w:spacing w:after="120"/>
      </w:pPr>
      <w:r>
        <w:t>Step 7: Launch EC2 application instances or an Auto Scaling Group.</w:t>
      </w:r>
    </w:p>
    <w:p>
      <w:pPr>
        <w:spacing w:after="120"/>
      </w:pPr>
      <w:r>
        <w:t>Step 8: Install Node, pnpm, system dependencies, and the CloudWatch agent on the instances.</w:t>
      </w:r>
    </w:p>
    <w:p>
      <w:pPr>
        <w:spacing w:after="120"/>
      </w:pPr>
      <w:r>
        <w:t>Step 9: Pull or copy the hardened Milestone 2 repository to the instances.</w:t>
      </w:r>
    </w:p>
    <w:p>
      <w:pPr>
        <w:spacing w:after="120"/>
      </w:pPr>
      <w:r>
        <w:t>Step 10: Inject production environment variables from Secrets Manager or Parameter Store.</w:t>
      </w:r>
    </w:p>
    <w:p>
      <w:pPr>
        <w:spacing w:after="120"/>
      </w:pPr>
      <w:r>
        <w:t>Step 11: Run pnpm install and build commands.</w:t>
      </w:r>
    </w:p>
    <w:p>
      <w:pPr>
        <w:spacing w:after="120"/>
      </w:pPr>
      <w:r>
        <w:t>Step 12: Run Prisma generate and Prisma migrate against Aurora.</w:t>
      </w:r>
    </w:p>
    <w:p>
      <w:pPr>
        <w:spacing w:after="120"/>
      </w:pPr>
      <w:r>
        <w:t>Step 13: Start web-platform, api-platform, and worker via systemd.</w:t>
      </w:r>
    </w:p>
    <w:p>
      <w:pPr>
        <w:spacing w:after="120"/>
      </w:pPr>
      <w:r>
        <w:t>Step 14: Create the ALB, target groups, listeners, and health checks.</w:t>
      </w:r>
    </w:p>
    <w:p>
      <w:pPr>
        <w:spacing w:after="120"/>
      </w:pPr>
      <w:r>
        <w:t>Step 15: Attach ACM certificate and configure HTTPS.</w:t>
      </w:r>
    </w:p>
    <w:p>
      <w:pPr>
        <w:spacing w:after="120"/>
      </w:pPr>
      <w:r>
        <w:t>Step 16: Point DNS at the ALB.</w:t>
      </w:r>
    </w:p>
    <w:p>
      <w:pPr>
        <w:spacing w:after="120"/>
      </w:pPr>
      <w:r>
        <w:t>Step 17: Run smoke tests: login, create org, create project, create version, enqueue generation, confirm worker completion, confirm artifact upload/download.</w:t>
      </w:r>
    </w:p>
    <w:p>
      <w:pPr>
        <w:spacing w:after="120"/>
      </w:pPr>
      <w:r>
        <w:t>Step 18: Enable monitoring, alarms, snapshots, and backup policies.</w:t>
      </w:r>
    </w:p>
    <w:p>
      <w:pPr>
        <w:pStyle w:val="Heading1"/>
      </w:pPr>
      <w:r>
        <w:t>19. Where Laravel Vapor fits</w:t>
      </w:r>
    </w:p>
    <w:p>
      <w:pPr>
        <w:spacing w:after="120"/>
      </w:pPr>
      <w:r>
        <w:t>Laravel Vapor is valuable if, later, you add a Laravel service that you explicitly want to run on AWS Lambda. Vapor is documented as a serverless deployment platform for Laravel powered by AWS Lambda. For the current Milestone 2 platform, that does not match the primary runtime model because your deployed services are long-running Node processes. citeturn0search1turn0search13</w:t>
      </w:r>
    </w:p>
    <w:p>
      <w:pPr>
        <w:spacing w:after="120"/>
      </w:pPr>
      <w:r>
        <w:t>A practical future pattern is hybrid deployment: keep the platform control plane on EC2 + Aurora + ElastiCache + S3, and use Vapor only for a separate Laravel-based auxiliary service if you decide to introduce one. Do not force the current Next.js/Express/BullMQ stack into a Vapor-shaped deployment just because Vapor is in the tool list.</w:t>
      </w:r>
    </w:p>
    <w:p>
      <w:pPr>
        <w:pStyle w:val="Heading1"/>
      </w:pPr>
      <w:r>
        <w:t>20. Go-live checklist</w:t>
      </w:r>
    </w:p>
    <w:p>
      <w:pPr>
        <w:spacing w:after="120"/>
      </w:pPr>
      <w:r>
        <w:t>Confirm ALB health checks are passing.</w:t>
      </w:r>
    </w:p>
    <w:p>
      <w:pPr>
        <w:spacing w:after="120"/>
      </w:pPr>
      <w:r>
        <w:t>Confirm web-platform and api-platform are reachable over HTTPS.</w:t>
      </w:r>
    </w:p>
    <w:p>
      <w:pPr>
        <w:spacing w:after="120"/>
      </w:pPr>
      <w:r>
        <w:t>Confirm worker can read from Redis and complete a generation job.</w:t>
      </w:r>
    </w:p>
    <w:p>
      <w:pPr>
        <w:spacing w:after="120"/>
      </w:pPr>
      <w:r>
        <w:t>Confirm Aurora snapshots are enabled and retention is set.</w:t>
      </w:r>
    </w:p>
    <w:p>
      <w:pPr>
        <w:spacing w:after="120"/>
      </w:pPr>
      <w:r>
        <w:t>Confirm S3 artifacts are written, encrypted, and downloadable.</w:t>
      </w:r>
    </w:p>
    <w:p>
      <w:pPr>
        <w:spacing w:after="120"/>
      </w:pPr>
      <w:r>
        <w:t>Confirm secrets are not stored on disk in plaintext beyond what is required for service startup.</w:t>
      </w:r>
    </w:p>
    <w:p>
      <w:pPr>
        <w:spacing w:after="120"/>
      </w:pPr>
      <w:r>
        <w:t>Confirm CloudWatch alarms exist for API failures, worker failures, and database connectivity.</w:t>
      </w:r>
    </w:p>
    <w:p>
      <w:pPr>
        <w:pStyle w:val="Heading1"/>
      </w:pPr>
      <w:r>
        <w:t>21. Recommended post-deployment improvements</w:t>
      </w:r>
    </w:p>
    <w:p>
      <w:pPr>
        <w:spacing w:after="120"/>
      </w:pPr>
      <w:r>
        <w:t>After the first stable AWS deployment, the highest-value next improvements are: move to CI/CD, split worker and web/API capacity groups, add blue/green or rolling deployment automation, replace local build steps with prebuilt deploy artifacts, and add S3-backed signed-download URLs directly in the artifact service.</w:t>
      </w:r>
    </w:p>
    <w:p>
      <w:pPr>
        <w:spacing w:after="120"/>
      </w:pPr>
      <w:r>
        <w:t>When you start Milestone 3, preserve this EC2 + Aurora + ElastiCache + S3 baseline unless a later architectural decision justifies containers or serverless. It is the most straightforward and least risky way to run the current Milestone 2 stack on AWS.</w:t>
      </w:r>
    </w:p>
    <w:p>
      <w:pPr>
        <w:pStyle w:val="Heading1"/>
      </w:pPr>
      <w:r>
        <w:t>Reference architecture map</w:t>
      </w:r>
    </w:p>
    <w:tbl>
      <w:tblPr>
        <w:tblStyle w:val="TableGrid"/>
        <w:tblW w:type="auto" w:w="0"/>
        <w:jc w:val="center"/>
        <w:tblLayout w:type="fixed"/>
        <w:tblLook w:firstColumn="1" w:firstRow="1" w:lastColumn="0" w:lastRow="0" w:noHBand="0" w:noVBand="1" w:val="04A0"/>
      </w:tblPr>
      <w:tblGrid>
        <w:gridCol w:w="1814"/>
        <w:gridCol w:w="2381"/>
        <w:gridCol w:w="2268"/>
        <w:gridCol w:w="2835"/>
      </w:tblGrid>
      <w:tr>
        <w:tc>
          <w:tcPr>
            <w:tcW w:type="dxa" w:w="2493"/>
            <w:vAlign w:val="center"/>
            <w:tcMar>
              <w:top w:w="80" w:type="dxa"/>
              <w:start w:w="90" w:type="dxa"/>
              <w:bottom w:w="80" w:type="dxa"/>
              <w:end w:w="90" w:type="dxa"/>
            </w:tcMar>
            <w:shd w:fill="D9EAF7"/>
          </w:tcPr>
          <w:p>
            <w:pPr>
              <w:spacing w:before="40" w:after="40" w:line="252" w:lineRule="auto"/>
              <w:jc w:val="center"/>
            </w:pPr>
            <w:r>
              <w:rPr>
                <w:rFonts w:ascii="Aptos" w:hAnsi="Aptos"/>
                <w:b/>
                <w:color w:val="000000"/>
                <w:sz w:val="19"/>
              </w:rPr>
              <w:t>Layer</w:t>
            </w:r>
          </w:p>
        </w:tc>
        <w:tc>
          <w:tcPr>
            <w:tcW w:type="dxa" w:w="2493"/>
            <w:vAlign w:val="center"/>
            <w:tcMar>
              <w:top w:w="80" w:type="dxa"/>
              <w:start w:w="90" w:type="dxa"/>
              <w:bottom w:w="80" w:type="dxa"/>
              <w:end w:w="90" w:type="dxa"/>
            </w:tcMar>
            <w:shd w:fill="D9EAF7"/>
          </w:tcPr>
          <w:p>
            <w:pPr>
              <w:spacing w:before="40" w:after="40" w:line="252" w:lineRule="auto"/>
              <w:jc w:val="center"/>
            </w:pPr>
            <w:r>
              <w:rPr>
                <w:rFonts w:ascii="Aptos" w:hAnsi="Aptos"/>
                <w:b/>
                <w:color w:val="000000"/>
                <w:sz w:val="19"/>
              </w:rPr>
              <w:t>AWS service</w:t>
            </w:r>
          </w:p>
        </w:tc>
        <w:tc>
          <w:tcPr>
            <w:tcW w:type="dxa" w:w="2493"/>
            <w:vAlign w:val="center"/>
            <w:tcMar>
              <w:top w:w="80" w:type="dxa"/>
              <w:start w:w="90" w:type="dxa"/>
              <w:bottom w:w="80" w:type="dxa"/>
              <w:end w:w="90" w:type="dxa"/>
            </w:tcMar>
            <w:shd w:fill="D9EAF7"/>
          </w:tcPr>
          <w:p>
            <w:pPr>
              <w:spacing w:before="40" w:after="40" w:line="252" w:lineRule="auto"/>
              <w:jc w:val="center"/>
            </w:pPr>
            <w:r>
              <w:rPr>
                <w:rFonts w:ascii="Aptos" w:hAnsi="Aptos"/>
                <w:b/>
                <w:color w:val="000000"/>
                <w:sz w:val="19"/>
              </w:rPr>
              <w:t>Milestone 2 component</w:t>
            </w:r>
          </w:p>
        </w:tc>
        <w:tc>
          <w:tcPr>
            <w:tcW w:type="dxa" w:w="2493"/>
            <w:vAlign w:val="center"/>
            <w:tcMar>
              <w:top w:w="80" w:type="dxa"/>
              <w:start w:w="90" w:type="dxa"/>
              <w:bottom w:w="80" w:type="dxa"/>
              <w:end w:w="90" w:type="dxa"/>
            </w:tcMar>
            <w:shd w:fill="D9EAF7"/>
          </w:tcPr>
          <w:p>
            <w:pPr>
              <w:spacing w:before="40" w:after="40" w:line="252" w:lineRule="auto"/>
              <w:jc w:val="center"/>
            </w:pPr>
            <w:r>
              <w:rPr>
                <w:rFonts w:ascii="Aptos" w:hAnsi="Aptos"/>
                <w:b/>
                <w:color w:val="000000"/>
                <w:sz w:val="19"/>
              </w:rPr>
              <w:t>Notes</w:t>
            </w:r>
          </w:p>
        </w:tc>
      </w:tr>
      <w:tr>
        <w:tc>
          <w:tcPr>
            <w:tcW w:type="dxa" w:w="1814"/>
            <w:vAlign w:val="center"/>
            <w:tcMar>
              <w:top w:w="80" w:type="dxa"/>
              <w:start w:w="90" w:type="dxa"/>
              <w:bottom w:w="80" w:type="dxa"/>
              <w:end w:w="90" w:type="dxa"/>
            </w:tcMar>
          </w:tcPr>
          <w:p>
            <w:pPr>
              <w:spacing w:before="40" w:after="40" w:line="252" w:lineRule="auto"/>
            </w:pPr>
            <w:r>
              <w:rPr>
                <w:rFonts w:ascii="Aptos" w:hAnsi="Aptos"/>
                <w:sz w:val="19"/>
              </w:rPr>
              <w:t>Edge</w:t>
            </w:r>
          </w:p>
        </w:tc>
        <w:tc>
          <w:tcPr>
            <w:tcW w:type="dxa" w:w="2381"/>
            <w:vAlign w:val="center"/>
            <w:tcMar>
              <w:top w:w="80" w:type="dxa"/>
              <w:start w:w="90" w:type="dxa"/>
              <w:bottom w:w="80" w:type="dxa"/>
              <w:end w:w="90" w:type="dxa"/>
            </w:tcMar>
          </w:tcPr>
          <w:p>
            <w:pPr>
              <w:spacing w:before="40" w:after="40" w:line="252" w:lineRule="auto"/>
            </w:pPr>
            <w:r>
              <w:rPr>
                <w:rFonts w:ascii="Aptos" w:hAnsi="Aptos"/>
                <w:sz w:val="19"/>
              </w:rPr>
              <w:t>ALB + ACM</w:t>
            </w:r>
          </w:p>
        </w:tc>
        <w:tc>
          <w:tcPr>
            <w:tcW w:type="dxa" w:w="2268"/>
            <w:vAlign w:val="center"/>
            <w:tcMar>
              <w:top w:w="80" w:type="dxa"/>
              <w:start w:w="90" w:type="dxa"/>
              <w:bottom w:w="80" w:type="dxa"/>
              <w:end w:w="90" w:type="dxa"/>
            </w:tcMar>
          </w:tcPr>
          <w:p>
            <w:pPr>
              <w:spacing w:before="40" w:after="40" w:line="252" w:lineRule="auto"/>
            </w:pPr>
            <w:r>
              <w:rPr>
                <w:rFonts w:ascii="Aptos" w:hAnsi="Aptos"/>
                <w:sz w:val="19"/>
              </w:rPr>
              <w:t>web-platform/api-platform ingress</w:t>
            </w:r>
          </w:p>
        </w:tc>
        <w:tc>
          <w:tcPr>
            <w:tcW w:type="dxa" w:w="2835"/>
            <w:vAlign w:val="center"/>
            <w:tcMar>
              <w:top w:w="80" w:type="dxa"/>
              <w:start w:w="90" w:type="dxa"/>
              <w:bottom w:w="80" w:type="dxa"/>
              <w:end w:w="90" w:type="dxa"/>
            </w:tcMar>
          </w:tcPr>
          <w:p>
            <w:pPr>
              <w:spacing w:before="40" w:after="40" w:line="252" w:lineRule="auto"/>
            </w:pPr>
            <w:r>
              <w:rPr>
                <w:rFonts w:ascii="Aptos" w:hAnsi="Aptos"/>
                <w:sz w:val="19"/>
              </w:rPr>
              <w:t>Terminate TLS and route to EC2 target groups</w:t>
            </w:r>
          </w:p>
        </w:tc>
      </w:tr>
      <w:tr>
        <w:tc>
          <w:tcPr>
            <w:tcW w:type="dxa" w:w="1814"/>
            <w:vAlign w:val="center"/>
            <w:tcMar>
              <w:top w:w="80" w:type="dxa"/>
              <w:start w:w="90" w:type="dxa"/>
              <w:bottom w:w="80" w:type="dxa"/>
              <w:end w:w="90" w:type="dxa"/>
            </w:tcMar>
          </w:tcPr>
          <w:p>
            <w:pPr>
              <w:spacing w:before="40" w:after="40" w:line="252" w:lineRule="auto"/>
            </w:pPr>
            <w:r>
              <w:rPr>
                <w:rFonts w:ascii="Aptos" w:hAnsi="Aptos"/>
                <w:sz w:val="19"/>
              </w:rPr>
              <w:t>Compute</w:t>
            </w:r>
          </w:p>
        </w:tc>
        <w:tc>
          <w:tcPr>
            <w:tcW w:type="dxa" w:w="2381"/>
            <w:vAlign w:val="center"/>
            <w:tcMar>
              <w:top w:w="80" w:type="dxa"/>
              <w:start w:w="90" w:type="dxa"/>
              <w:bottom w:w="80" w:type="dxa"/>
              <w:end w:w="90" w:type="dxa"/>
            </w:tcMar>
          </w:tcPr>
          <w:p>
            <w:pPr>
              <w:spacing w:before="40" w:after="40" w:line="252" w:lineRule="auto"/>
            </w:pPr>
            <w:r>
              <w:rPr>
                <w:rFonts w:ascii="Aptos" w:hAnsi="Aptos"/>
                <w:sz w:val="19"/>
              </w:rPr>
              <w:t>EC2</w:t>
            </w:r>
          </w:p>
        </w:tc>
        <w:tc>
          <w:tcPr>
            <w:tcW w:type="dxa" w:w="2268"/>
            <w:vAlign w:val="center"/>
            <w:tcMar>
              <w:top w:w="80" w:type="dxa"/>
              <w:start w:w="90" w:type="dxa"/>
              <w:bottom w:w="80" w:type="dxa"/>
              <w:end w:w="90" w:type="dxa"/>
            </w:tcMar>
          </w:tcPr>
          <w:p>
            <w:pPr>
              <w:spacing w:before="40" w:after="40" w:line="252" w:lineRule="auto"/>
            </w:pPr>
            <w:r>
              <w:rPr>
                <w:rFonts w:ascii="Aptos" w:hAnsi="Aptos"/>
                <w:sz w:val="19"/>
              </w:rPr>
              <w:t>web-platform, api-platform, worker</w:t>
            </w:r>
          </w:p>
        </w:tc>
        <w:tc>
          <w:tcPr>
            <w:tcW w:type="dxa" w:w="2835"/>
            <w:vAlign w:val="center"/>
            <w:tcMar>
              <w:top w:w="80" w:type="dxa"/>
              <w:start w:w="90" w:type="dxa"/>
              <w:bottom w:w="80" w:type="dxa"/>
              <w:end w:w="90" w:type="dxa"/>
            </w:tcMar>
          </w:tcPr>
          <w:p>
            <w:pPr>
              <w:spacing w:before="40" w:after="40" w:line="252" w:lineRule="auto"/>
            </w:pPr>
            <w:r>
              <w:rPr>
                <w:rFonts w:ascii="Aptos" w:hAnsi="Aptos"/>
                <w:sz w:val="19"/>
              </w:rPr>
              <w:t>Long-running Node.js services</w:t>
            </w:r>
          </w:p>
        </w:tc>
      </w:tr>
      <w:tr>
        <w:tc>
          <w:tcPr>
            <w:tcW w:type="dxa" w:w="1814"/>
            <w:vAlign w:val="center"/>
            <w:tcMar>
              <w:top w:w="80" w:type="dxa"/>
              <w:start w:w="90" w:type="dxa"/>
              <w:bottom w:w="80" w:type="dxa"/>
              <w:end w:w="90" w:type="dxa"/>
            </w:tcMar>
          </w:tcPr>
          <w:p>
            <w:pPr>
              <w:spacing w:before="40" w:after="40" w:line="252" w:lineRule="auto"/>
            </w:pPr>
            <w:r>
              <w:rPr>
                <w:rFonts w:ascii="Aptos" w:hAnsi="Aptos"/>
                <w:sz w:val="19"/>
              </w:rPr>
              <w:t>Database</w:t>
            </w:r>
          </w:p>
        </w:tc>
        <w:tc>
          <w:tcPr>
            <w:tcW w:type="dxa" w:w="2381"/>
            <w:vAlign w:val="center"/>
            <w:tcMar>
              <w:top w:w="80" w:type="dxa"/>
              <w:start w:w="90" w:type="dxa"/>
              <w:bottom w:w="80" w:type="dxa"/>
              <w:end w:w="90" w:type="dxa"/>
            </w:tcMar>
          </w:tcPr>
          <w:p>
            <w:pPr>
              <w:spacing w:before="40" w:after="40" w:line="252" w:lineRule="auto"/>
            </w:pPr>
            <w:r>
              <w:rPr>
                <w:rFonts w:ascii="Aptos" w:hAnsi="Aptos"/>
                <w:sz w:val="19"/>
              </w:rPr>
              <w:t>Aurora PostgreSQL</w:t>
            </w:r>
          </w:p>
        </w:tc>
        <w:tc>
          <w:tcPr>
            <w:tcW w:type="dxa" w:w="2268"/>
            <w:vAlign w:val="center"/>
            <w:tcMar>
              <w:top w:w="80" w:type="dxa"/>
              <w:start w:w="90" w:type="dxa"/>
              <w:bottom w:w="80" w:type="dxa"/>
              <w:end w:w="90" w:type="dxa"/>
            </w:tcMar>
          </w:tcPr>
          <w:p>
            <w:pPr>
              <w:spacing w:before="40" w:after="40" w:line="252" w:lineRule="auto"/>
            </w:pPr>
            <w:r>
              <w:rPr>
                <w:rFonts w:ascii="Aptos" w:hAnsi="Aptos"/>
                <w:sz w:val="19"/>
              </w:rPr>
              <w:t>platform Prisma state</w:t>
            </w:r>
          </w:p>
        </w:tc>
        <w:tc>
          <w:tcPr>
            <w:tcW w:type="dxa" w:w="2835"/>
            <w:vAlign w:val="center"/>
            <w:tcMar>
              <w:top w:w="80" w:type="dxa"/>
              <w:start w:w="90" w:type="dxa"/>
              <w:bottom w:w="80" w:type="dxa"/>
              <w:end w:w="90" w:type="dxa"/>
            </w:tcMar>
          </w:tcPr>
          <w:p>
            <w:pPr>
              <w:spacing w:before="40" w:after="40" w:line="252" w:lineRule="auto"/>
            </w:pPr>
            <w:r>
              <w:rPr>
                <w:rFonts w:ascii="Aptos" w:hAnsi="Aptos"/>
                <w:sz w:val="19"/>
              </w:rPr>
              <w:t>Organizations, projects, versions, jobs, audit data</w:t>
            </w:r>
          </w:p>
        </w:tc>
      </w:tr>
      <w:tr>
        <w:tc>
          <w:tcPr>
            <w:tcW w:type="dxa" w:w="1814"/>
            <w:vAlign w:val="center"/>
            <w:tcMar>
              <w:top w:w="80" w:type="dxa"/>
              <w:start w:w="90" w:type="dxa"/>
              <w:bottom w:w="80" w:type="dxa"/>
              <w:end w:w="90" w:type="dxa"/>
            </w:tcMar>
          </w:tcPr>
          <w:p>
            <w:pPr>
              <w:spacing w:before="40" w:after="40" w:line="252" w:lineRule="auto"/>
            </w:pPr>
            <w:r>
              <w:rPr>
                <w:rFonts w:ascii="Aptos" w:hAnsi="Aptos"/>
                <w:sz w:val="19"/>
              </w:rPr>
              <w:t>Queue</w:t>
            </w:r>
          </w:p>
        </w:tc>
        <w:tc>
          <w:tcPr>
            <w:tcW w:type="dxa" w:w="2381"/>
            <w:vAlign w:val="center"/>
            <w:tcMar>
              <w:top w:w="80" w:type="dxa"/>
              <w:start w:w="90" w:type="dxa"/>
              <w:bottom w:w="80" w:type="dxa"/>
              <w:end w:w="90" w:type="dxa"/>
            </w:tcMar>
          </w:tcPr>
          <w:p>
            <w:pPr>
              <w:spacing w:before="40" w:after="40" w:line="252" w:lineRule="auto"/>
            </w:pPr>
            <w:r>
              <w:rPr>
                <w:rFonts w:ascii="Aptos" w:hAnsi="Aptos"/>
                <w:sz w:val="19"/>
              </w:rPr>
              <w:t>ElastiCache Redis</w:t>
            </w:r>
          </w:p>
        </w:tc>
        <w:tc>
          <w:tcPr>
            <w:tcW w:type="dxa" w:w="2268"/>
            <w:vAlign w:val="center"/>
            <w:tcMar>
              <w:top w:w="80" w:type="dxa"/>
              <w:start w:w="90" w:type="dxa"/>
              <w:bottom w:w="80" w:type="dxa"/>
              <w:end w:w="90" w:type="dxa"/>
            </w:tcMar>
          </w:tcPr>
          <w:p>
            <w:pPr>
              <w:spacing w:before="40" w:after="40" w:line="252" w:lineRule="auto"/>
            </w:pPr>
            <w:r>
              <w:rPr>
                <w:rFonts w:ascii="Aptos" w:hAnsi="Aptos"/>
                <w:sz w:val="19"/>
              </w:rPr>
              <w:t>BullMQ</w:t>
            </w:r>
          </w:p>
        </w:tc>
        <w:tc>
          <w:tcPr>
            <w:tcW w:type="dxa" w:w="2835"/>
            <w:vAlign w:val="center"/>
            <w:tcMar>
              <w:top w:w="80" w:type="dxa"/>
              <w:start w:w="90" w:type="dxa"/>
              <w:bottom w:w="80" w:type="dxa"/>
              <w:end w:w="90" w:type="dxa"/>
            </w:tcMar>
          </w:tcPr>
          <w:p>
            <w:pPr>
              <w:spacing w:before="40" w:after="40" w:line="252" w:lineRule="auto"/>
            </w:pPr>
            <w:r>
              <w:rPr>
                <w:rFonts w:ascii="Aptos" w:hAnsi="Aptos"/>
                <w:sz w:val="19"/>
              </w:rPr>
              <w:t>Worker coordination and queue state</w:t>
            </w:r>
          </w:p>
        </w:tc>
      </w:tr>
      <w:tr>
        <w:tc>
          <w:tcPr>
            <w:tcW w:type="dxa" w:w="1814"/>
            <w:vAlign w:val="center"/>
            <w:tcMar>
              <w:top w:w="80" w:type="dxa"/>
              <w:start w:w="90" w:type="dxa"/>
              <w:bottom w:w="80" w:type="dxa"/>
              <w:end w:w="90" w:type="dxa"/>
            </w:tcMar>
          </w:tcPr>
          <w:p>
            <w:pPr>
              <w:spacing w:before="40" w:after="40" w:line="252" w:lineRule="auto"/>
            </w:pPr>
            <w:r>
              <w:rPr>
                <w:rFonts w:ascii="Aptos" w:hAnsi="Aptos"/>
                <w:sz w:val="19"/>
              </w:rPr>
              <w:t>Storage</w:t>
            </w:r>
          </w:p>
        </w:tc>
        <w:tc>
          <w:tcPr>
            <w:tcW w:type="dxa" w:w="2381"/>
            <w:vAlign w:val="center"/>
            <w:tcMar>
              <w:top w:w="80" w:type="dxa"/>
              <w:start w:w="90" w:type="dxa"/>
              <w:bottom w:w="80" w:type="dxa"/>
              <w:end w:w="90" w:type="dxa"/>
            </w:tcMar>
          </w:tcPr>
          <w:p>
            <w:pPr>
              <w:spacing w:before="40" w:after="40" w:line="252" w:lineRule="auto"/>
            </w:pPr>
            <w:r>
              <w:rPr>
                <w:rFonts w:ascii="Aptos" w:hAnsi="Aptos"/>
                <w:sz w:val="19"/>
              </w:rPr>
              <w:t>S3</w:t>
            </w:r>
          </w:p>
        </w:tc>
        <w:tc>
          <w:tcPr>
            <w:tcW w:type="dxa" w:w="2268"/>
            <w:vAlign w:val="center"/>
            <w:tcMar>
              <w:top w:w="80" w:type="dxa"/>
              <w:start w:w="90" w:type="dxa"/>
              <w:bottom w:w="80" w:type="dxa"/>
              <w:end w:w="90" w:type="dxa"/>
            </w:tcMar>
          </w:tcPr>
          <w:p>
            <w:pPr>
              <w:spacing w:before="40" w:after="40" w:line="252" w:lineRule="auto"/>
            </w:pPr>
            <w:r>
              <w:rPr>
                <w:rFonts w:ascii="Aptos" w:hAnsi="Aptos"/>
                <w:sz w:val="19"/>
              </w:rPr>
              <w:t>generated artifacts</w:t>
            </w:r>
          </w:p>
        </w:tc>
        <w:tc>
          <w:tcPr>
            <w:tcW w:type="dxa" w:w="2835"/>
            <w:vAlign w:val="center"/>
            <w:tcMar>
              <w:top w:w="80" w:type="dxa"/>
              <w:start w:w="90" w:type="dxa"/>
              <w:bottom w:w="80" w:type="dxa"/>
              <w:end w:w="90" w:type="dxa"/>
            </w:tcMar>
          </w:tcPr>
          <w:p>
            <w:pPr>
              <w:spacing w:before="40" w:after="40" w:line="252" w:lineRule="auto"/>
            </w:pPr>
            <w:r>
              <w:rPr>
                <w:rFonts w:ascii="Aptos" w:hAnsi="Aptos"/>
                <w:sz w:val="19"/>
              </w:rPr>
              <w:t>ZIP outputs, manifests, backups</w:t>
            </w:r>
          </w:p>
        </w:tc>
      </w:tr>
      <w:tr>
        <w:tc>
          <w:tcPr>
            <w:tcW w:type="dxa" w:w="1814"/>
            <w:vAlign w:val="center"/>
            <w:tcMar>
              <w:top w:w="80" w:type="dxa"/>
              <w:start w:w="90" w:type="dxa"/>
              <w:bottom w:w="80" w:type="dxa"/>
              <w:end w:w="90" w:type="dxa"/>
            </w:tcMar>
          </w:tcPr>
          <w:p>
            <w:pPr>
              <w:spacing w:before="40" w:after="40" w:line="252" w:lineRule="auto"/>
            </w:pPr>
            <w:r>
              <w:rPr>
                <w:rFonts w:ascii="Aptos" w:hAnsi="Aptos"/>
                <w:sz w:val="19"/>
              </w:rPr>
              <w:t>Monitoring</w:t>
            </w:r>
          </w:p>
        </w:tc>
        <w:tc>
          <w:tcPr>
            <w:tcW w:type="dxa" w:w="2381"/>
            <w:vAlign w:val="center"/>
            <w:tcMar>
              <w:top w:w="80" w:type="dxa"/>
              <w:start w:w="90" w:type="dxa"/>
              <w:bottom w:w="80" w:type="dxa"/>
              <w:end w:w="90" w:type="dxa"/>
            </w:tcMar>
          </w:tcPr>
          <w:p>
            <w:pPr>
              <w:spacing w:before="40" w:after="40" w:line="252" w:lineRule="auto"/>
            </w:pPr>
            <w:r>
              <w:rPr>
                <w:rFonts w:ascii="Aptos" w:hAnsi="Aptos"/>
                <w:sz w:val="19"/>
              </w:rPr>
              <w:t>CloudWatch</w:t>
            </w:r>
          </w:p>
        </w:tc>
        <w:tc>
          <w:tcPr>
            <w:tcW w:type="dxa" w:w="2268"/>
            <w:vAlign w:val="center"/>
            <w:tcMar>
              <w:top w:w="80" w:type="dxa"/>
              <w:start w:w="90" w:type="dxa"/>
              <w:bottom w:w="80" w:type="dxa"/>
              <w:end w:w="90" w:type="dxa"/>
            </w:tcMar>
          </w:tcPr>
          <w:p>
            <w:pPr>
              <w:spacing w:before="40" w:after="40" w:line="252" w:lineRule="auto"/>
            </w:pPr>
            <w:r>
              <w:rPr>
                <w:rFonts w:ascii="Aptos" w:hAnsi="Aptos"/>
                <w:sz w:val="19"/>
              </w:rPr>
              <w:t>logs + alarms</w:t>
            </w:r>
          </w:p>
        </w:tc>
        <w:tc>
          <w:tcPr>
            <w:tcW w:type="dxa" w:w="2835"/>
            <w:vAlign w:val="center"/>
            <w:tcMar>
              <w:top w:w="80" w:type="dxa"/>
              <w:start w:w="90" w:type="dxa"/>
              <w:bottom w:w="80" w:type="dxa"/>
              <w:end w:w="90" w:type="dxa"/>
            </w:tcMar>
          </w:tcPr>
          <w:p>
            <w:pPr>
              <w:spacing w:before="40" w:after="40" w:line="252" w:lineRule="auto"/>
            </w:pPr>
            <w:r>
              <w:rPr>
                <w:rFonts w:ascii="Aptos" w:hAnsi="Aptos"/>
                <w:sz w:val="19"/>
              </w:rPr>
              <w:t>Service and job visibility</w:t>
            </w:r>
          </w:p>
        </w:tc>
      </w:tr>
    </w:tbl>
    <w:p/>
    <w:p>
      <w:pPr>
        <w:pStyle w:val="Heading1"/>
      </w:pPr>
      <w:r>
        <w:t>Git structure to deploy</w:t>
      </w:r>
    </w:p>
    <w:p>
      <w:pPr/>
      <w:r>
        <w:rPr>
          <w:rFonts w:ascii="Consolas" w:hAnsi="Consolas"/>
          <w:sz w:val="19"/>
        </w:rPr>
        <w:t>/platform</w:t>
        <w:br/>
        <w:t xml:space="preserve">  /apps</w:t>
        <w:br/>
        <w:t xml:space="preserve">    /web-platform</w:t>
        <w:br/>
        <w:t xml:space="preserve">    /api-platform</w:t>
        <w:br/>
        <w:t xml:space="preserve">    /worker</w:t>
        <w:br/>
        <w:t xml:space="preserve">  /packages</w:t>
        <w:br/>
        <w:t xml:space="preserve">    /auth</w:t>
        <w:br/>
        <w:t xml:space="preserve">    /app-spec</w:t>
        <w:br/>
        <w:t xml:space="preserve">    /generator</w:t>
        <w:br/>
        <w:t xml:space="preserve">    /templates</w:t>
        <w:br/>
        <w:t xml:space="preserve">    /database</w:t>
        <w:br/>
        <w:t xml:space="preserve">    /shared</w:t>
        <w:br/>
        <w:t xml:space="preserve">  /generated-apps</w:t>
        <w:br/>
        <w:t xml:space="preserve">  docker-compose.yml</w:t>
        <w:br/>
        <w:t xml:space="preserve">  turbo.json</w:t>
        <w:br/>
        <w:t xml:space="preserve">  pnpm-workspace.yaml</w:t>
        <w:br/>
        <w:t xml:space="preserve">  package.json</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59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