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Milestone 6</w:t>
      </w:r>
    </w:p>
    <w:p>
      <w:pPr>
        <w:jc w:val="center"/>
      </w:pPr>
      <w:r>
        <w:rPr>
          <w:i/>
          <w:color w:val="5B6B7A"/>
          <w:sz w:val="22"/>
        </w:rPr>
        <w:t>AWS Deployment Guide</w:t>
      </w:r>
    </w:p>
    <w:p>
      <w:pPr>
        <w:jc w:val="center"/>
      </w:pPr>
      <w:r>
        <w:rPr>
          <w:color w:val="6B7785"/>
          <w:sz w:val="20"/>
        </w:rPr>
        <w:t>Collaboration, AI Copilot, Enterprise Controls, Monetization, and Global Scale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color w:val="334E68"/>
                <w:sz w:val="20"/>
              </w:rPr>
              <w:t>Scope: this guide assumes Milestones 1–5 are already deployed. Milestone 6 introduces collaboration workloads, AI copilot services, enterprise governance, monetization workflows, and global-scale operational metadata.</w:t>
            </w:r>
          </w:p>
        </w:tc>
      </w:tr>
    </w:tbl>
    <w:p/>
    <w:p>
      <w:pPr>
        <w:pStyle w:val="Heading1"/>
      </w:pPr>
      <w:r>
        <w:t>1. Target AWS Architecture</w:t>
      </w:r>
    </w:p>
    <w:p>
      <w:r>
        <w:t>Milestone 6 keeps the Milestone 5 platform topology but adds stateful collaboration records, enterprise configuration services, monetization workflows, and global-scale operational metadata.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type="dxa" w:w="6912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Deployment Guidance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Collaboration Layer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API and database support live sessions, presence, comments, and activity streams. For real-time delivery, add WebSocket or managed pub-sub later, but the scaffold deploys on the same control plane.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Copilot Layer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Run copilot prompts through the API platform or a dedicated AI service. Keep provider keys in Secrets Manager and isolate throughput limits with queue-based fallback if needed.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Enterprise Layer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Store SSO, SCIM, promotion, and approval metadata in Aurora. Deploy these services inside the same private subnets as the API platform.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Monetization Layer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API and DB services to record purchases, balances, revenue shares, and payouts. Payment provider credentials should be isolated and audited.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Global Scale Layer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Add runtime region metadata, regional deployments, edge routing rules, global service health, and incident tracking. These models power operations dashboards and later multi-region routing automation.</w:t>
            </w:r>
          </w:p>
        </w:tc>
      </w:tr>
    </w:tbl>
    <w:p/>
    <w:p>
      <w:pPr>
        <w:pStyle w:val="Heading1"/>
      </w:pPr>
      <w:r>
        <w:t>2. AWS Services Used</w:t>
      </w:r>
    </w:p>
    <w:p>
      <w:pPr>
        <w:pStyle w:val="ListBullet"/>
        <w:spacing w:after="60"/>
        <w:ind w:left="288"/>
      </w:pPr>
      <w:r>
        <w:t>Amazon Aurora PostgreSQL for collaboration, enterprise, monetization, and global scale metadata.</w:t>
      </w:r>
    </w:p>
    <w:p>
      <w:pPr>
        <w:pStyle w:val="ListBullet"/>
        <w:spacing w:after="60"/>
        <w:ind w:left="288"/>
      </w:pPr>
      <w:r>
        <w:t>Amazon ElastiCache Redis for queue coordination, copilot job offloading, and transient collaboration state if you add real-time pub-sub later.</w:t>
      </w:r>
    </w:p>
    <w:p>
      <w:pPr>
        <w:pStyle w:val="ListBullet"/>
        <w:spacing w:after="60"/>
        <w:ind w:left="288"/>
      </w:pPr>
      <w:r>
        <w:t>Amazon ECS or EC2 Auto Scaling Groups for API, worker, web, developer portal, and optional copilot service split.</w:t>
      </w:r>
    </w:p>
    <w:p>
      <w:pPr>
        <w:pStyle w:val="ListBullet"/>
        <w:spacing w:after="60"/>
        <w:ind w:left="288"/>
      </w:pPr>
      <w:r>
        <w:t>Amazon S3 for audit exports, generated artifacts, marketplace assets, and operational export bundles.</w:t>
      </w:r>
    </w:p>
    <w:p>
      <w:pPr>
        <w:pStyle w:val="ListBullet"/>
        <w:spacing w:after="60"/>
        <w:ind w:left="288"/>
      </w:pPr>
      <w:r>
        <w:t>AWS Secrets Manager for payment provider keys, AI provider keys, SCIM tokens, and SSO-related secrets.</w:t>
      </w:r>
    </w:p>
    <w:p>
      <w:pPr>
        <w:pStyle w:val="ListBullet"/>
        <w:spacing w:after="60"/>
        <w:ind w:left="288"/>
      </w:pPr>
      <w:r>
        <w:t>Amazon Route 53 and ACM for regional or global hostnames.</w:t>
      </w:r>
    </w:p>
    <w:p>
      <w:pPr>
        <w:pStyle w:val="ListBullet"/>
        <w:spacing w:after="60"/>
        <w:ind w:left="288"/>
      </w:pPr>
      <w:r>
        <w:t>Amazon CloudWatch for centralized service logs, dashboards, region health visibility, and alarms.</w:t>
      </w:r>
    </w:p>
    <w:p>
      <w:pPr>
        <w:pStyle w:val="ListBullet"/>
        <w:spacing w:after="60"/>
        <w:ind w:left="288"/>
      </w:pPr>
      <w:r>
        <w:t>Optional AWS Global Accelerator or CloudFront for future latency-aware routing.</w:t>
      </w:r>
    </w:p>
    <w:p>
      <w:pPr>
        <w:pStyle w:val="Heading1"/>
      </w:pPr>
      <w:r>
        <w:t>3. Deployment Prerequisites</w:t>
      </w:r>
    </w:p>
    <w:p>
      <w:pPr>
        <w:pStyle w:val="ListNumber"/>
        <w:spacing w:after="80"/>
      </w:pPr>
      <w:r>
        <w:t>Confirm Milestone 5 is fully stable in staging and production.</w:t>
      </w:r>
    </w:p>
    <w:p>
      <w:pPr>
        <w:pStyle w:val="ListNumber"/>
        <w:spacing w:after="80"/>
      </w:pPr>
      <w:r>
        <w:t>Prepare release sequencing because Milestone 6 touches authentication, enterprise workflows, monetization, and operations data.</w:t>
      </w:r>
    </w:p>
    <w:p>
      <w:pPr>
        <w:pStyle w:val="ListNumber"/>
        <w:spacing w:after="80"/>
      </w:pPr>
      <w:r>
        <w:t>Coordinate with security stakeholders before enabling SSO, SCIM, or payment-related integrations.</w:t>
      </w:r>
    </w:p>
    <w:p>
      <w:pPr>
        <w:pStyle w:val="ListNumber"/>
        <w:spacing w:after="80"/>
      </w:pPr>
      <w:r>
        <w:t>Decide whether global-scale metadata will be informational only at first or used to drive deployment and routing automation immediately.</w:t>
      </w:r>
    </w:p>
    <w:p>
      <w:pPr>
        <w:pStyle w:val="Heading1"/>
      </w:pPr>
      <w:r>
        <w:t>4. Database Deployment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Milestone 6 Pack</w:t>
            </w:r>
          </w:p>
        </w:tc>
        <w:tc>
          <w:tcPr>
            <w:tcW w:type="dxa" w:w="6912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Migration Content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1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Collaboration models: sessions, presence, comments, activity events.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2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Copilot support if you persist diagnostics or suggestion state beyond API responses.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3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Enterprise models: SSO config, SCIM config and events, environment promotions, approval requests.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4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Monetization models: transactions, revenue shares, payouts, developer balances.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5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Global scale models: runtime regions, regional deployments, edge routing rules, service health, incidents.</w:t>
            </w:r>
          </w:p>
        </w:tc>
      </w:tr>
    </w:tbl>
    <w:p/>
    <w:p>
      <w:r>
        <w:t>Apply migrations in order. Validate each pack before moving to the next. In production, use a maintenance window if your DB governance requires formal change approval.</w:t>
      </w:r>
    </w:p>
    <w:p>
      <w:pPr>
        <w:pStyle w:val="Heading1"/>
      </w:pPr>
      <w:r>
        <w:t>5. API Platform Deployment</w:t>
      </w:r>
    </w:p>
    <w:p>
      <w:pPr>
        <w:pStyle w:val="ListNumber"/>
        <w:spacing w:after="80"/>
      </w:pPr>
      <w:r>
        <w:t>Build and push a new api-platform image to ECR.</w:t>
      </w:r>
    </w:p>
    <w:p>
      <w:pPr>
        <w:pStyle w:val="ListNumber"/>
        <w:spacing w:after="80"/>
      </w:pPr>
      <w:r>
        <w:t>Update service environment variables for copilot provider keys, payment provider keys, optional SSO and SCIM defaults, and region metadata flags.</w:t>
      </w:r>
    </w:p>
    <w:p>
      <w:pPr>
        <w:pStyle w:val="ListNumber"/>
        <w:spacing w:after="80"/>
      </w:pPr>
      <w:r>
        <w:t>Deploy to staging and validate pack-specific routes before production rollout.</w:t>
      </w:r>
    </w:p>
    <w:p>
      <w:pPr>
        <w:pStyle w:val="ListNumber"/>
        <w:spacing w:after="80"/>
      </w:pPr>
      <w:r>
        <w:t>Promote the same tested image tag to production.</w:t>
      </w:r>
    </w:p>
    <w:p>
      <w:pPr>
        <w:pStyle w:val="Heading1"/>
      </w:pPr>
      <w:r>
        <w:t>6. New Route Validation by Capability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Capability</w:t>
            </w:r>
          </w:p>
        </w:tc>
        <w:tc>
          <w:tcPr>
            <w:tcW w:type="dxa" w:w="6912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Validation Focus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Collaboration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Validate collaboration sessions, presence, comments, and activity routes under the collaboration namespace.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Copilot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Validate chat, suggest-spec, fix-generation, and explain-diagnostics routes.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Enterprise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Validate SSO, SCIM, promotions, and approval routes under enterprise namespaces.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Monetization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Validate template and plugin purchase, earnings, payout, and org transaction routes.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Global Scale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Validate regions, routing, health, incidents, reconciliation, and project regional deployment endpoints.</w:t>
            </w:r>
          </w:p>
        </w:tc>
      </w:tr>
    </w:tbl>
    <w:p/>
    <w:p>
      <w:pPr>
        <w:pStyle w:val="Heading1"/>
      </w:pPr>
      <w:r>
        <w:t>7. Web Platform Deployment</w:t>
      </w:r>
    </w:p>
    <w:p>
      <w:pPr>
        <w:pStyle w:val="ListBullet"/>
        <w:spacing w:after="60"/>
        <w:ind w:left="288"/>
      </w:pPr>
      <w:r>
        <w:t>Deploy updated web-platform UI for collaboration, copilot, enterprise controls, developer earnings, payouts, and global operations views.</w:t>
      </w:r>
    </w:p>
    <w:p>
      <w:pPr>
        <w:pStyle w:val="ListBullet"/>
        <w:spacing w:after="60"/>
        <w:ind w:left="288"/>
      </w:pPr>
      <w:r>
        <w:t>If the developer portal is a separate app, keep it aligned with monetization and earnings routes.</w:t>
      </w:r>
    </w:p>
    <w:p>
      <w:pPr>
        <w:pStyle w:val="ListBullet"/>
        <w:spacing w:after="60"/>
        <w:ind w:left="288"/>
      </w:pPr>
      <w:r>
        <w:t>Consider separate feature flags for collaboration UI, enterprise UI, and monetization UI so you can enable features progressively.</w:t>
      </w:r>
    </w:p>
    <w:p>
      <w:pPr>
        <w:pStyle w:val="Heading1"/>
      </w:pPr>
      <w:r>
        <w:t>8. Worker and Queue Considerations</w:t>
      </w:r>
    </w:p>
    <w:p>
      <w:r>
        <w:t>Milestone 6 increases asynchronous workload complexity. Adjust worker operations as follows:</w:t>
      </w:r>
    </w:p>
    <w:p>
      <w:pPr>
        <w:pStyle w:val="ListBullet"/>
        <w:spacing w:after="60"/>
        <w:ind w:left="288"/>
      </w:pPr>
      <w:r>
        <w:t>Copilot requests can remain synchronous initially, but queue them when prompt volume or latency becomes unpredictable.</w:t>
      </w:r>
    </w:p>
    <w:p>
      <w:pPr>
        <w:pStyle w:val="ListBullet"/>
        <w:spacing w:after="60"/>
        <w:ind w:left="288"/>
      </w:pPr>
      <w:r>
        <w:t>Add recurring reconciliation jobs for failed deployments, orphan previews, billing mismatches, and stuck generation jobs.</w:t>
      </w:r>
    </w:p>
    <w:p>
      <w:pPr>
        <w:pStyle w:val="ListBullet"/>
        <w:spacing w:after="60"/>
        <w:ind w:left="288"/>
      </w:pPr>
      <w:r>
        <w:t>If payout processing becomes asynchronous, dedicate a queue for financial operations and keep retry policies conservative.</w:t>
      </w:r>
    </w:p>
    <w:p>
      <w:pPr>
        <w:pStyle w:val="Heading1"/>
      </w:pPr>
      <w:r>
        <w:t>9. Secrets and Security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Secret Category</w:t>
            </w:r>
          </w:p>
        </w:tc>
        <w:tc>
          <w:tcPr>
            <w:tcW w:type="dxa" w:w="6912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Examples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AI Secrets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Provider API keys for copilot and any model-routing settings.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Enterprise Secrets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SAML certificates, OIDC client secrets, SCIM tokens, and webhook signing materials.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Payments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Payment provider API keys, payout provider credentials, and optional tax or compliance integration keys.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Region automation keys only if global routing is later automated by API calls.</w:t>
            </w:r>
          </w:p>
        </w:tc>
      </w:tr>
    </w:tbl>
    <w:p/>
    <w:p>
      <w:pPr>
        <w:pStyle w:val="Heading1"/>
      </w:pPr>
      <w:r>
        <w:t>10. Enterprise Rollout Guidance</w:t>
      </w:r>
    </w:p>
    <w:p>
      <w:pPr>
        <w:pStyle w:val="ListBullet"/>
        <w:spacing w:after="60"/>
        <w:ind w:left="288"/>
      </w:pPr>
      <w:r>
        <w:t>Enable SSO and SCIM first in staging and a pilot production organization before general rollout.</w:t>
      </w:r>
    </w:p>
    <w:p>
      <w:pPr>
        <w:pStyle w:val="ListBullet"/>
        <w:spacing w:after="60"/>
        <w:ind w:left="288"/>
      </w:pPr>
      <w:r>
        <w:t>Require an approval process for production promotions so enterprise controls are exercised before they become mandatory.</w:t>
      </w:r>
    </w:p>
    <w:p>
      <w:pPr>
        <w:pStyle w:val="ListBullet"/>
        <w:spacing w:after="60"/>
        <w:ind w:left="288"/>
      </w:pPr>
      <w:r>
        <w:t>Log all enterprise configuration changes to the audit trail and export them periodically to S3 or your SIEM.</w:t>
      </w:r>
    </w:p>
    <w:p>
      <w:pPr>
        <w:pStyle w:val="Heading1"/>
      </w:pPr>
      <w:r>
        <w:t>11. Monetization Rollout Guidance</w:t>
      </w:r>
    </w:p>
    <w:p>
      <w:pPr>
        <w:pStyle w:val="ListBullet"/>
        <w:spacing w:after="60"/>
        <w:ind w:left="288"/>
      </w:pPr>
      <w:r>
        <w:t>Start with sandbox payment providers in staging.</w:t>
      </w:r>
    </w:p>
    <w:p>
      <w:pPr>
        <w:pStyle w:val="ListBullet"/>
        <w:spacing w:after="60"/>
        <w:ind w:left="288"/>
      </w:pPr>
      <w:r>
        <w:t>Validate transaction creation, developer balance updates, revenue share math, and payout requests end to end.</w:t>
      </w:r>
    </w:p>
    <w:p>
      <w:pPr>
        <w:pStyle w:val="ListBullet"/>
        <w:spacing w:after="60"/>
        <w:ind w:left="288"/>
      </w:pPr>
      <w:r>
        <w:t>Use separate Secrets Manager entries and IAM scoping for payment and payout credentials.</w:t>
      </w:r>
    </w:p>
    <w:p>
      <w:pPr>
        <w:pStyle w:val="ListBullet"/>
        <w:spacing w:after="60"/>
        <w:ind w:left="288"/>
      </w:pPr>
      <w:r>
        <w:t>Add CloudWatch alarms for payout failures, repeated purchase errors, or invalid developer balances.</w:t>
      </w:r>
    </w:p>
    <w:p>
      <w:pPr>
        <w:pStyle w:val="Heading1"/>
      </w:pPr>
      <w:r>
        <w:t>12. Global Scale Rollout Guidance</w:t>
      </w:r>
    </w:p>
    <w:p>
      <w:pPr>
        <w:pStyle w:val="ListBullet"/>
        <w:spacing w:after="60"/>
        <w:ind w:left="288"/>
      </w:pPr>
      <w:r>
        <w:t>Seed runtime region metadata even before true multi-region deployment is active.</w:t>
      </w:r>
    </w:p>
    <w:p>
      <w:pPr>
        <w:pStyle w:val="ListBullet"/>
        <w:spacing w:after="60"/>
        <w:ind w:left="288"/>
      </w:pPr>
      <w:r>
        <w:t>Publish regional deployment records as informational first, then connect them to actual runtime orchestration later.</w:t>
      </w:r>
    </w:p>
    <w:p>
      <w:pPr>
        <w:pStyle w:val="ListBullet"/>
        <w:spacing w:after="60"/>
        <w:ind w:left="288"/>
      </w:pPr>
      <w:r>
        <w:t>Use edge routing rules as a controlled source of truth for region preference and failover logic.</w:t>
      </w:r>
    </w:p>
    <w:p>
      <w:pPr>
        <w:pStyle w:val="ListBullet"/>
        <w:spacing w:after="60"/>
        <w:ind w:left="288"/>
      </w:pPr>
      <w:r>
        <w:t>Create service health checks per region and populate PlatformServiceHealth regularly through API or background jobs.</w:t>
      </w:r>
    </w:p>
    <w:p>
      <w:pPr>
        <w:pStyle w:val="Heading1"/>
      </w:pPr>
      <w:r>
        <w:t>13. Recommended CloudWatch Dashboards</w:t>
      </w:r>
    </w:p>
    <w:p>
      <w:pPr>
        <w:pStyle w:val="ListBullet"/>
        <w:spacing w:after="60"/>
        <w:ind w:left="288"/>
      </w:pPr>
      <w:r>
        <w:t>API request rate, latency, and 5xx rate.</w:t>
      </w:r>
    </w:p>
    <w:p>
      <w:pPr>
        <w:pStyle w:val="ListBullet"/>
        <w:spacing w:after="60"/>
        <w:ind w:left="288"/>
      </w:pPr>
      <w:r>
        <w:t>Worker queue depth and job failure counts.</w:t>
      </w:r>
    </w:p>
    <w:p>
      <w:pPr>
        <w:pStyle w:val="ListBullet"/>
        <w:spacing w:after="60"/>
        <w:ind w:left="288"/>
      </w:pPr>
      <w:r>
        <w:t>Copilot response time and external provider error rate.</w:t>
      </w:r>
    </w:p>
    <w:p>
      <w:pPr>
        <w:pStyle w:val="ListBullet"/>
        <w:spacing w:after="60"/>
        <w:ind w:left="288"/>
      </w:pPr>
      <w:r>
        <w:t>Collaboration route usage and comment/session activity.</w:t>
      </w:r>
    </w:p>
    <w:p>
      <w:pPr>
        <w:pStyle w:val="ListBullet"/>
        <w:spacing w:after="60"/>
        <w:ind w:left="288"/>
      </w:pPr>
      <w:r>
        <w:t>Enterprise config changes and SCIM event volume.</w:t>
      </w:r>
    </w:p>
    <w:p>
      <w:pPr>
        <w:pStyle w:val="ListBullet"/>
        <w:spacing w:after="60"/>
        <w:ind w:left="288"/>
      </w:pPr>
      <w:r>
        <w:t>Marketplace purchases, payouts, and failed financial operations.</w:t>
      </w:r>
    </w:p>
    <w:p>
      <w:pPr>
        <w:pStyle w:val="ListBullet"/>
        <w:spacing w:after="60"/>
        <w:ind w:left="288"/>
      </w:pPr>
      <w:r>
        <w:t>Global region health status and open incidents.</w:t>
      </w:r>
    </w:p>
    <w:p>
      <w:pPr>
        <w:pStyle w:val="Heading1"/>
      </w:pPr>
      <w:r>
        <w:t>14. Final Production Validation Checklist</w:t>
      </w:r>
    </w:p>
    <w:p>
      <w:pPr>
        <w:pStyle w:val="ListBullet"/>
        <w:spacing w:after="60"/>
        <w:ind w:left="288"/>
      </w:pPr>
      <w:r>
        <w:t>Collaboration session creation and presence updates succeed.</w:t>
      </w:r>
    </w:p>
    <w:p>
      <w:pPr>
        <w:pStyle w:val="ListBullet"/>
        <w:spacing w:after="60"/>
        <w:ind w:left="288"/>
      </w:pPr>
      <w:r>
        <w:t>Copilot endpoints return structured responses.</w:t>
      </w:r>
    </w:p>
    <w:p>
      <w:pPr>
        <w:pStyle w:val="ListBullet"/>
        <w:spacing w:after="60"/>
        <w:ind w:left="288"/>
      </w:pPr>
      <w:r>
        <w:t>SSO and SCIM configuration records can be created safely in staging.</w:t>
      </w:r>
    </w:p>
    <w:p>
      <w:pPr>
        <w:pStyle w:val="ListBullet"/>
        <w:spacing w:after="60"/>
        <w:ind w:left="288"/>
      </w:pPr>
      <w:r>
        <w:t>Promotion and approval workflows function and are auditable.</w:t>
      </w:r>
    </w:p>
    <w:p>
      <w:pPr>
        <w:pStyle w:val="ListBullet"/>
        <w:spacing w:after="60"/>
        <w:ind w:left="288"/>
      </w:pPr>
      <w:r>
        <w:t>Template and plugin purchases create transaction and revenue-share records.</w:t>
      </w:r>
    </w:p>
    <w:p>
      <w:pPr>
        <w:pStyle w:val="ListBullet"/>
        <w:spacing w:after="60"/>
        <w:ind w:left="288"/>
      </w:pPr>
      <w:r>
        <w:t>Developer payout requests update balances correctly.</w:t>
      </w:r>
    </w:p>
    <w:p>
      <w:pPr>
        <w:pStyle w:val="ListBullet"/>
        <w:spacing w:after="60"/>
        <w:ind w:left="288"/>
      </w:pPr>
      <w:r>
        <w:t>Runtime region, edge routing, service health, and incident APIs work as expected.</w:t>
      </w:r>
    </w:p>
    <w:p>
      <w:pPr>
        <w:pStyle w:val="ListBullet"/>
        <w:spacing w:after="60"/>
        <w:ind w:left="288"/>
      </w:pPr>
      <w:r>
        <w:t>Reconciliation scaffold can run without crashing the worker fleet or API control plane.</w:t>
      </w:r>
    </w:p>
    <w:p>
      <w:pPr>
        <w:pStyle w:val="Heading1"/>
      </w:pPr>
      <w:r>
        <w:t>15. Rollback Plan</w:t>
      </w:r>
    </w:p>
    <w:p>
      <w:pPr>
        <w:pStyle w:val="ListNumber"/>
        <w:spacing w:after="80"/>
      </w:pPr>
      <w:r>
        <w:t>Disable feature flags for collaboration, copilot, enterprise, monetization, or global operations independently if you exposed them behind flags.</w:t>
      </w:r>
    </w:p>
    <w:p>
      <w:pPr>
        <w:pStyle w:val="ListNumber"/>
        <w:spacing w:after="80"/>
      </w:pPr>
      <w:r>
        <w:t>Roll the API and worker services back to the previous ECS task definitions if runtime stability degrades.</w:t>
      </w:r>
    </w:p>
    <w:p>
      <w:pPr>
        <w:pStyle w:val="ListNumber"/>
        <w:spacing w:after="80"/>
      </w:pPr>
      <w:r>
        <w:t>Suspend payment and payout endpoints if financial flows become inconsistent.</w:t>
      </w:r>
    </w:p>
    <w:p>
      <w:pPr>
        <w:pStyle w:val="ListNumber"/>
        <w:spacing w:after="80"/>
      </w:pPr>
      <w:r>
        <w:t>Keep enterprise controls disabled per-organization during rollback if only some tenants are affected.</w:t>
      </w:r>
    </w:p>
    <w:p>
      <w:pPr>
        <w:pStyle w:val="ListNumber"/>
        <w:spacing w:after="80"/>
      </w:pPr>
      <w:r>
        <w:t>For region metadata problems, treat routing rules as data and fix forward in Aurora rather than rolling back the entire app unless necessary.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 xml:space="preserve">Milestone 6 AWS Guide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F6D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