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44F0" w14:textId="77777777" w:rsidR="004D2C06" w:rsidRDefault="00000000">
      <w:pPr>
        <w:spacing w:after="80"/>
        <w:jc w:val="right"/>
      </w:pPr>
      <w:r>
        <w:rPr>
          <w:color w:val="888888"/>
          <w:sz w:val="18"/>
          <w:szCs w:val="18"/>
        </w:rPr>
        <w:t>Relational Actualism · Research Note</w:t>
      </w:r>
    </w:p>
    <w:p w14:paraId="03F67FDC" w14:textId="77777777" w:rsidR="004D2C06" w:rsidRDefault="00000000">
      <w:pPr>
        <w:spacing w:after="320"/>
        <w:jc w:val="right"/>
      </w:pPr>
      <w:r>
        <w:rPr>
          <w:color w:val="888888"/>
          <w:sz w:val="18"/>
          <w:szCs w:val="18"/>
        </w:rPr>
        <w:t>Joshua F. Sandeman · April 2026</w:t>
      </w:r>
    </w:p>
    <w:p w14:paraId="2293D824" w14:textId="77777777" w:rsidR="004D2C06" w:rsidRDefault="00000000">
      <w:pPr>
        <w:pStyle w:val="Heading1"/>
      </w:pPr>
      <w:r>
        <w:t>The Yeats–BDG Decomposition and the Physical Origin of the Causal Arrow of Time</w:t>
      </w:r>
    </w:p>
    <w:p w14:paraId="1CD79FEB" w14:textId="77777777" w:rsidR="004D2C06" w:rsidRDefault="004D2C06"/>
    <w:p w14:paraId="171EAEC0" w14:textId="77777777" w:rsidR="004D2C06" w:rsidRDefault="00000000">
      <w:pPr>
        <w:pStyle w:val="Heading2"/>
      </w:pPr>
      <w:r>
        <w:t>1.  Context</w:t>
      </w:r>
    </w:p>
    <w:p w14:paraId="0F22ADF5" w14:textId="77777777" w:rsidR="004D2C06" w:rsidRDefault="00000000">
      <w:pPr>
        <w:spacing w:after="160"/>
      </w:pPr>
      <w:r>
        <w:t>The Benincasa–Dowker–Glaser (BDG) action for a causal set C sprinkled in d-dimensional Minkowski spacetime is</w:t>
      </w:r>
    </w:p>
    <w:p w14:paraId="407837F1" w14:textId="77777777" w:rsidR="004D2C06" w:rsidRDefault="00000000">
      <w:pPr>
        <w:spacing w:after="160"/>
        <w:ind w:left="720"/>
      </w:pPr>
      <w:r>
        <w:rPr>
          <w:rFonts w:ascii="Courier New" w:eastAsia="Courier New" w:hAnsi="Courier New" w:cs="Courier New"/>
          <w:sz w:val="20"/>
          <w:szCs w:val="20"/>
        </w:rPr>
        <w:t>S_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BDG[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C, x] = N_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  +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Σ_{k=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1}^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{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K}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x, C)</w:t>
      </w:r>
    </w:p>
    <w:p w14:paraId="5F06EB45" w14:textId="77777777" w:rsidR="004D2C06" w:rsidRDefault="00000000">
      <w:pPr>
        <w:spacing w:after="160"/>
      </w:pPr>
      <w:r>
        <w:t xml:space="preserve">where </w:t>
      </w:r>
      <w:proofErr w:type="spellStart"/>
      <w:r>
        <w:t>N_k</w:t>
      </w:r>
      <w:proofErr w:type="spellEnd"/>
      <w:r>
        <w:t xml:space="preserve"> counts intervals of size k in the causal past of vertex x, and the coefficients </w:t>
      </w:r>
      <w:proofErr w:type="spellStart"/>
      <w:r>
        <w:t>c_k</w:t>
      </w:r>
      <w:proofErr w:type="spellEnd"/>
      <w:r>
        <w:t xml:space="preserve"> are fixed by the dimension.  In four dimensions the RA convention gives</w:t>
      </w:r>
    </w:p>
    <w:p w14:paraId="277CA44A" w14:textId="77777777" w:rsidR="004D2C06" w:rsidRDefault="00000000">
      <w:pPr>
        <w:spacing w:after="16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(1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,  −1,  9,  −16,  8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RA/Dowker-Glaser 2013, Table 1).</w:t>
      </w:r>
    </w:p>
    <w:p w14:paraId="73B765C6" w14:textId="77777777" w:rsidR="004D2C06" w:rsidRDefault="00000000">
      <w:pPr>
        <w:spacing w:after="160"/>
      </w:pPr>
      <w:r>
        <w:t>Simultaneously, Yeats (2025) provides, from purely combinatorial arguments about chord diagrams, a set of unsigned multiplicities for the same causal diamond structure:</w:t>
      </w:r>
    </w:p>
    <w:p w14:paraId="5DC8544A" w14:textId="77777777" w:rsidR="004D2C06" w:rsidRDefault="00000000">
      <w:pPr>
        <w:spacing w:after="160"/>
        <w:ind w:left="720"/>
      </w:pPr>
      <w:r>
        <w:rPr>
          <w:rFonts w:ascii="Courier New" w:eastAsia="Courier New" w:hAnsi="Courier New" w:cs="Courier New"/>
          <w:sz w:val="20"/>
          <w:szCs w:val="20"/>
        </w:rPr>
        <w:t>C_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1,  1,  9,  16,  8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Yeats 2025, unsigned chord multiplicities).</w:t>
      </w:r>
    </w:p>
    <w:p w14:paraId="6956825B" w14:textId="77777777" w:rsidR="004D2C06" w:rsidRDefault="00000000">
      <w:pPr>
        <w:spacing w:after="160"/>
      </w:pPr>
      <w:r>
        <w:t>The relationship between the two sets of integers is immediate:</w:t>
      </w:r>
    </w:p>
    <w:p w14:paraId="36D3D758" w14:textId="77777777" w:rsidR="004D2C06" w:rsidRDefault="00000000">
      <w:pPr>
        <w:spacing w:after="16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(−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1)^k  ×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C_K[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k]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for k = 0, 1, 2, 3, 4.</w:t>
      </w:r>
    </w:p>
    <w:p w14:paraId="77F90F3A" w14:textId="77777777" w:rsidR="004D2C06" w:rsidRDefault="00000000">
      <w:pPr>
        <w:spacing w:after="160"/>
      </w:pPr>
      <w:r>
        <w:t>This note argues that this decomposition is not a notational coincidence but a separation of two physically independent components of the BDG action: its topological content and its causal orientation.</w:t>
      </w:r>
    </w:p>
    <w:p w14:paraId="28CA101E" w14:textId="77777777" w:rsidR="004D2C06" w:rsidRDefault="004D2C06"/>
    <w:p w14:paraId="6AD925E3" w14:textId="77777777" w:rsidR="004D2C06" w:rsidRDefault="00000000">
      <w:pPr>
        <w:pStyle w:val="Heading2"/>
      </w:pPr>
      <w:r>
        <w:t>2.  The Decomposition</w:t>
      </w:r>
    </w:p>
    <w:p w14:paraId="278F7140" w14:textId="77777777" w:rsidR="004D2C06" w:rsidRDefault="00000000">
      <w:pPr>
        <w:spacing w:after="160"/>
      </w:pPr>
      <w:r>
        <w:t>The Yeats unsigned multiplicities C_K[k] count the number of topologically distinct chord diagram structures of interval-size k within a causal diamond of depth 4D Minkowski spacetime.  They are a property of the causal diamond geometry alone — independent of whether the diagram is to be read forward or backward in time.  In Yeats's formulation they arise from a generating function for rooted tree amplitudes and are entirely combinatorial.</w:t>
      </w:r>
    </w:p>
    <w:p w14:paraId="44F85A6C" w14:textId="77777777" w:rsidR="004D2C06" w:rsidRDefault="00000000">
      <w:pPr>
        <w:spacing w:after="160"/>
      </w:pPr>
      <w:r>
        <w:t>The alternating sign pattern (−</w:t>
      </w:r>
      <w:proofErr w:type="gramStart"/>
      <w:r>
        <w:t>1)^</w:t>
      </w:r>
      <w:proofErr w:type="gramEnd"/>
      <w:r>
        <w:t>k, by contrast, has a direct physical origin in Relational Actualism: it records the causal orientation of each layer.  Specifically:</w:t>
      </w:r>
    </w:p>
    <w:p w14:paraId="06B1C797" w14:textId="77777777" w:rsidR="004D2C06" w:rsidRDefault="00000000">
      <w:pPr>
        <w:spacing w:after="160"/>
        <w:ind w:left="720"/>
      </w:pPr>
      <w:r>
        <w:rPr>
          <w:rFonts w:ascii="Courier New" w:eastAsia="Courier New" w:hAnsi="Courier New" w:cs="Courier New"/>
          <w:sz w:val="20"/>
          <w:szCs w:val="20"/>
        </w:rPr>
        <w:t>k even (k = 0, 2, 4):  direct predecessors, same-parity links → positive</w:t>
      </w:r>
    </w:p>
    <w:p w14:paraId="6D42A3F9" w14:textId="77777777" w:rsidR="004D2C06" w:rsidRDefault="00000000">
      <w:pPr>
        <w:spacing w:after="1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k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odd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k = 1, 3):     one-step-removed, parity-flipped links → negative</w:t>
      </w:r>
    </w:p>
    <w:p w14:paraId="30998989" w14:textId="77777777" w:rsidR="004D2C06" w:rsidRDefault="00000000">
      <w:pPr>
        <w:spacing w:after="160"/>
      </w:pPr>
      <w:r>
        <w:t>In RA, the causal DAG is acyclic: every edge points from past to future, and this time-orientation is the primitive from which all physical asymmetry derives.  The sign of each BDG layer is the algebraic expression of that orientation at depth k.</w:t>
      </w:r>
    </w:p>
    <w:p w14:paraId="0D3E0CD6" w14:textId="77777777" w:rsidR="004D2C06" w:rsidRDefault="00000000">
      <w:pPr>
        <w:spacing w:after="160"/>
      </w:pPr>
      <w:r>
        <w:t>The decomposition therefore reads:</w:t>
      </w:r>
    </w:p>
    <w:p w14:paraId="207F2CD6" w14:textId="77777777" w:rsidR="004D2C06" w:rsidRDefault="00000000">
      <w:pPr>
        <w:spacing w:after="16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lastRenderedPageBreak/>
        <w:t>c_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[combinatorial geometry of 4D causal diamond]</w:t>
      </w:r>
    </w:p>
    <w:p w14:paraId="49E7BEF8" w14:textId="77777777" w:rsidR="004D2C06" w:rsidRDefault="00000000">
      <w:pPr>
        <w:spacing w:after="1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×  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time-orientation parity at depth k].</w:t>
      </w:r>
    </w:p>
    <w:p w14:paraId="5A9616E5" w14:textId="77777777" w:rsidR="004D2C06" w:rsidRDefault="00000000">
      <w:pPr>
        <w:spacing w:after="160"/>
      </w:pPr>
      <w:r>
        <w:t>The first factor is available from chord diagram combinatorics (Yeats 2025).  The second factor is available from DAG acyclicity (the RA primitive, the Local Ledger Condition).</w:t>
      </w:r>
    </w:p>
    <w:p w14:paraId="4AF9311F" w14:textId="77777777" w:rsidR="004D2C06" w:rsidRDefault="004D2C06"/>
    <w:p w14:paraId="54DE5B9C" w14:textId="77777777" w:rsidR="004D2C06" w:rsidRDefault="00000000">
      <w:pPr>
        <w:pStyle w:val="Heading2"/>
      </w:pPr>
      <w:r>
        <w:t>3.  Physical Consequences</w:t>
      </w:r>
    </w:p>
    <w:p w14:paraId="716D5858" w14:textId="77777777" w:rsidR="004D2C06" w:rsidRDefault="00000000">
      <w:pPr>
        <w:spacing w:after="160"/>
      </w:pPr>
      <w:r>
        <w:t>This separation has three immediate physical consequences.</w:t>
      </w:r>
    </w:p>
    <w:p w14:paraId="0AE31EA9" w14:textId="77777777" w:rsidR="004D2C06" w:rsidRDefault="00000000">
      <w:pPr>
        <w:spacing w:after="160"/>
      </w:pPr>
      <w:proofErr w:type="gramStart"/>
      <w:r>
        <w:t>3.1  The</w:t>
      </w:r>
      <w:proofErr w:type="gramEnd"/>
      <w:r>
        <w:t xml:space="preserve"> time-reversed universe.  Reversing the causal arrow of time maps </w:t>
      </w:r>
      <w:proofErr w:type="spellStart"/>
      <w:r>
        <w:t>c_k</w:t>
      </w:r>
      <w:proofErr w:type="spellEnd"/>
      <w:r>
        <w:t xml:space="preserve"> → (−</w:t>
      </w:r>
      <w:proofErr w:type="gramStart"/>
      <w:r>
        <w:t>1)^</w:t>
      </w:r>
      <w:proofErr w:type="gramEnd"/>
      <w:r>
        <w:t xml:space="preserve">k × </w:t>
      </w:r>
      <w:proofErr w:type="spellStart"/>
      <w:r>
        <w:t>c_k</w:t>
      </w:r>
      <w:proofErr w:type="spellEnd"/>
      <w:r>
        <w:t xml:space="preserve"> × (−1) = −</w:t>
      </w:r>
      <w:proofErr w:type="spellStart"/>
      <w:r>
        <w:t>c_k</w:t>
      </w:r>
      <w:proofErr w:type="spellEnd"/>
      <w:r>
        <w:t xml:space="preserve"> for odd k, i.e. the signs flip for k = 1, 3.  The BDG action becomes</w:t>
      </w:r>
    </w:p>
    <w:p w14:paraId="461BE215" w14:textId="77777777" w:rsidR="004D2C06" w:rsidRDefault="00000000">
      <w:pPr>
        <w:spacing w:after="16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S_time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-reversed = N_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  +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N_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  +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9 N_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  +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16 N_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3  +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8 N_4</w:t>
      </w:r>
    </w:p>
    <w:p w14:paraId="36BD0B4F" w14:textId="77777777" w:rsidR="004D2C06" w:rsidRDefault="00000000">
      <w:pPr>
        <w:spacing w:after="160"/>
      </w:pPr>
      <w:r>
        <w:t xml:space="preserve">The acceptance probability </w:t>
      </w:r>
      <w:proofErr w:type="spellStart"/>
      <w:r>
        <w:t>P_acc</w:t>
      </w:r>
      <w:proofErr w:type="spellEnd"/>
      <w:r>
        <w:t xml:space="preserve"> = </w:t>
      </w:r>
      <w:proofErr w:type="gramStart"/>
      <w:r>
        <w:t>P(</w:t>
      </w:r>
      <w:proofErr w:type="gramEnd"/>
      <w:r>
        <w:t>S &gt; 0) changes from 0.5484 (RA forward) to 0.4516 (time-reversed), a difference of approximately 0.097.  The selectivity of the time-reversed universe is lower: it actualizes more events but with less discrimination.  Time asymmetry is therefore not a global boundary condition on the universe but is encoded locally in the sign pattern of the BDG action at every vertex.</w:t>
      </w:r>
    </w:p>
    <w:p w14:paraId="0D679AB6" w14:textId="77777777" w:rsidR="004D2C06" w:rsidRDefault="00000000">
      <w:pPr>
        <w:spacing w:after="160"/>
      </w:pPr>
      <w:proofErr w:type="gramStart"/>
      <w:r>
        <w:t>3.2  The</w:t>
      </w:r>
      <w:proofErr w:type="gramEnd"/>
      <w:r>
        <w:t xml:space="preserve"> Euler characteristic and the vacuum.  The sum Σ </w:t>
      </w:r>
      <w:proofErr w:type="spellStart"/>
      <w:r>
        <w:t>c_k</w:t>
      </w:r>
      <w:proofErr w:type="spellEnd"/>
      <w:r>
        <w:t xml:space="preserve"> = 1 for d = 4, which equals the Euler characteristic χ of the 4D causal diamond (</w:t>
      </w:r>
      <w:proofErr w:type="gramStart"/>
      <w:r>
        <w:t>and also</w:t>
      </w:r>
      <w:proofErr w:type="gramEnd"/>
      <w:r>
        <w:t xml:space="preserve"> of d = 2, giving χ = 1 in both cases).  When the vacuum-subtraction operator </w:t>
      </w:r>
      <w:proofErr w:type="spellStart"/>
      <w:r>
        <w:t>P_act</w:t>
      </w:r>
      <w:proofErr w:type="spellEnd"/>
      <w:r>
        <w:t xml:space="preserve"> is applied, the effective action becomes Σ_k≥1 </w:t>
      </w:r>
      <w:proofErr w:type="spellStart"/>
      <w:r>
        <w:t>c_k</w:t>
      </w:r>
      <w:proofErr w:type="spellEnd"/>
      <w:r>
        <w:t xml:space="preserve"> × </w:t>
      </w:r>
      <w:proofErr w:type="spellStart"/>
      <w:r>
        <w:t>N_k</w:t>
      </w:r>
      <w:proofErr w:type="spellEnd"/>
      <w:r>
        <w:t xml:space="preserve">, which has Σ = −1 + 9 − 16 + 8 = 0.  The vacuum subtraction converts a χ = 1 object into a χ = 0 object.  In RA this corresponds to the removal of the vacuum contribution from the metric source, dissolving the cosmological constant problem.  The Yeats decomposition makes this transparent: the vertex term c_0 = 1 is the 'topological charge' of the diagram; subtracting it (which is what </w:t>
      </w:r>
      <w:proofErr w:type="spellStart"/>
      <w:r>
        <w:t>P_act</w:t>
      </w:r>
      <w:proofErr w:type="spellEnd"/>
      <w:r>
        <w:t xml:space="preserve"> does) produces an identically zero Euler sum.</w:t>
      </w:r>
    </w:p>
    <w:p w14:paraId="5AA6F6C2" w14:textId="77777777" w:rsidR="004D2C06" w:rsidRDefault="00000000">
      <w:pPr>
        <w:spacing w:after="160"/>
      </w:pPr>
      <w:proofErr w:type="gramStart"/>
      <w:r>
        <w:t>3.3  Coupling</w:t>
      </w:r>
      <w:proofErr w:type="gramEnd"/>
      <w:r>
        <w:t xml:space="preserve"> constants from unsigned multiplicities.  Both known BDG-derived coupling constant results use only the unsigned magnitudes:</w:t>
      </w:r>
    </w:p>
    <w:p w14:paraId="5255449F" w14:textId="77777777" w:rsidR="004D2C06" w:rsidRDefault="00000000">
      <w:pPr>
        <w:spacing w:after="160"/>
        <w:ind w:left="720"/>
      </w:pPr>
      <w:r>
        <w:rPr>
          <w:rFonts w:ascii="Courier New" w:eastAsia="Courier New" w:hAnsi="Courier New" w:cs="Courier New"/>
          <w:sz w:val="20"/>
          <w:szCs w:val="20"/>
        </w:rPr>
        <w:t>α_s(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Z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1/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√(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|c_2| × |c_4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|)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1/√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72  ≈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0.11785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PDG: 0.1180)</w:t>
      </w:r>
    </w:p>
    <w:p w14:paraId="2C3660EE" w14:textId="77777777" w:rsidR="004D2C06" w:rsidRDefault="00000000">
      <w:pPr>
        <w:spacing w:after="160"/>
        <w:ind w:left="720"/>
      </w:pPr>
      <w:r>
        <w:rPr>
          <w:rFonts w:ascii="Courier New" w:eastAsia="Courier New" w:hAnsi="Courier New" w:cs="Courier New"/>
          <w:sz w:val="20"/>
          <w:szCs w:val="20"/>
        </w:rPr>
        <w:t>α_EM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^{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−1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}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144  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7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137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Lean-verified)</w:t>
      </w:r>
    </w:p>
    <w:p w14:paraId="3D3143C8" w14:textId="77777777" w:rsidR="004D2C06" w:rsidRDefault="00000000">
      <w:pPr>
        <w:spacing w:after="160"/>
      </w:pPr>
      <w:r>
        <w:t xml:space="preserve">The strong coupling emerges from the product of the two positive-term magnitudes; the electromagnetic coupling from the depth-ratio fixed point of the BDG action.  The signed action drives selectivity and thermodynamics; the unsigned magnitudes drive coupling constants.  This suggests an organizing principle: topology sets the coupling </w:t>
      </w:r>
      <w:proofErr w:type="gramStart"/>
      <w:r>
        <w:t>strengths,</w:t>
      </w:r>
      <w:proofErr w:type="gramEnd"/>
      <w:r>
        <w:t xml:space="preserve"> orientation sets the arrow of time.</w:t>
      </w:r>
    </w:p>
    <w:p w14:paraId="260227C6" w14:textId="77777777" w:rsidR="004D2C06" w:rsidRDefault="004D2C06"/>
    <w:p w14:paraId="3BBCA1C9" w14:textId="77777777" w:rsidR="004D2C06" w:rsidRDefault="00000000">
      <w:pPr>
        <w:pStyle w:val="Heading2"/>
      </w:pPr>
      <w:r>
        <w:t>4.  A Precise Open Problem</w:t>
      </w:r>
    </w:p>
    <w:p w14:paraId="4E97611A" w14:textId="77777777" w:rsidR="004D2C06" w:rsidRDefault="00000000">
      <w:pPr>
        <w:spacing w:after="160"/>
      </w:pPr>
      <w:r>
        <w:t>The central open question this decomposition raises is whether the alternating sign pattern (−</w:t>
      </w:r>
      <w:proofErr w:type="gramStart"/>
      <w:r>
        <w:t>1)^</w:t>
      </w:r>
      <w:proofErr w:type="gramEnd"/>
      <w:r>
        <w:t>k is derivable from the Lorentzian structure of the causal diamond alone — specifically, from the Rindler–Killing horizon structure — rather than being put in by hand.</w:t>
      </w:r>
    </w:p>
    <w:p w14:paraId="20750E6B" w14:textId="77777777" w:rsidR="004D2C06" w:rsidRDefault="00000000">
      <w:pPr>
        <w:spacing w:after="160"/>
      </w:pPr>
      <w:r>
        <w:t>The relevant structure is:</w:t>
      </w:r>
    </w:p>
    <w:p w14:paraId="45B6EEE5" w14:textId="77777777" w:rsidR="004D2C06" w:rsidRDefault="00000000">
      <w:pPr>
        <w:spacing w:after="16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(−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1)^k  ×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C_K[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k]   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iff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the causal diamond has a</w:t>
      </w:r>
    </w:p>
    <w:p w14:paraId="15F7A0BC" w14:textId="77777777" w:rsidR="004D2C06" w:rsidRDefault="00000000">
      <w:pPr>
        <w:spacing w:after="160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time-orientation that distinguishes even from odd depth.</w:t>
      </w:r>
    </w:p>
    <w:p w14:paraId="57DE0218" w14:textId="77777777" w:rsidR="004D2C06" w:rsidRDefault="00000000">
      <w:pPr>
        <w:spacing w:after="160"/>
      </w:pPr>
      <w:r>
        <w:t xml:space="preserve">In the causal set literature (Sorkin 1991; </w:t>
      </w:r>
      <w:proofErr w:type="spellStart"/>
      <w:r>
        <w:t>Bombelli</w:t>
      </w:r>
      <w:proofErr w:type="spellEnd"/>
      <w:r>
        <w:t xml:space="preserve">, Henson, Sorkin 2009), the BDG coefficients are derived from the requirement that the continuum limit of the causal set </w:t>
      </w:r>
      <w:proofErr w:type="spellStart"/>
      <w:r>
        <w:t>d'Alembertian</w:t>
      </w:r>
      <w:proofErr w:type="spellEnd"/>
      <w:r>
        <w:t xml:space="preserve"> matches the Minkowski box operator.  In that derivation, the signs emerge automatically from Green's function theory: the retarded Green's function's off-diagonal structure forces alternating contributions.  Whether this can be made fully intrinsic — derivable from the DAG acyclicity axiom alone without importing the continuum </w:t>
      </w:r>
      <w:proofErr w:type="spellStart"/>
      <w:r>
        <w:t>d'Alembertian</w:t>
      </w:r>
      <w:proofErr w:type="spellEnd"/>
      <w:r>
        <w:t xml:space="preserve"> — is an open problem directly relevant to both the RA </w:t>
      </w:r>
      <w:proofErr w:type="spellStart"/>
      <w:r>
        <w:t>programme</w:t>
      </w:r>
      <w:proofErr w:type="spellEnd"/>
      <w:r>
        <w:t xml:space="preserve"> and to the foundational question of whether Lorentz signature is topological or dynamical.</w:t>
      </w:r>
    </w:p>
    <w:p w14:paraId="7B033C97" w14:textId="77777777" w:rsidR="004D2C06" w:rsidRDefault="00000000">
      <w:pPr>
        <w:spacing w:after="160"/>
      </w:pPr>
      <w:r>
        <w:t>In RA notation: is the alternating sign pattern a theorem of the Local Ledger Condition (L01) and DAG acyclicity, or does it require an additional input?</w:t>
      </w:r>
    </w:p>
    <w:p w14:paraId="46385FF2" w14:textId="77777777" w:rsidR="004D2C06" w:rsidRDefault="004D2C06"/>
    <w:p w14:paraId="7BC5A0C0" w14:textId="77777777" w:rsidR="004D2C06" w:rsidRDefault="00000000">
      <w:pPr>
        <w:pStyle w:val="Heading2"/>
      </w:pPr>
      <w:r>
        <w:t>5.  Connection to Amplitude Locality</w:t>
      </w:r>
    </w:p>
    <w:p w14:paraId="67B4DDC8" w14:textId="77777777" w:rsidR="004D2C06" w:rsidRDefault="00000000">
      <w:pPr>
        <w:spacing w:after="160"/>
      </w:pPr>
      <w:r>
        <w:t xml:space="preserve">There is a further connection worth noting.  The recently proved </w:t>
      </w:r>
      <w:proofErr w:type="spellStart"/>
      <w:r>
        <w:t>RA_AmpLocality</w:t>
      </w:r>
      <w:proofErr w:type="spellEnd"/>
      <w:r>
        <w:t xml:space="preserve"> theorem (Sandeman 2026; </w:t>
      </w:r>
      <w:proofErr w:type="spellStart"/>
      <w:r>
        <w:t>RA_AmpLocality.lean</w:t>
      </w:r>
      <w:proofErr w:type="spellEnd"/>
      <w:r>
        <w:t>) establishes amplitude locality — that the BDG local amplitude for adding vertex v depends only on the causal past of v — directly from the transitivity of the causal order and the BDG action structure, without appeal to the QFT continuum.</w:t>
      </w:r>
    </w:p>
    <w:p w14:paraId="20AD4169" w14:textId="77777777" w:rsidR="004D2C06" w:rsidRDefault="00000000">
      <w:pPr>
        <w:spacing w:after="160"/>
      </w:pPr>
      <w:r>
        <w:t xml:space="preserve">The Yeats decomposition provides a natural interpretation of why this holds.  The unsigned chord multiplicities C_K[k] count only causal intervals that lie entirely within past(v) (Lemma 1 in </w:t>
      </w:r>
      <w:proofErr w:type="spellStart"/>
      <w:r>
        <w:t>RA_AmpLocality.lean</w:t>
      </w:r>
      <w:proofErr w:type="spellEnd"/>
      <w:r>
        <w:t xml:space="preserve">: </w:t>
      </w:r>
      <w:proofErr w:type="spellStart"/>
      <w:r>
        <w:t>interval_subset_past</w:t>
      </w:r>
      <w:proofErr w:type="spellEnd"/>
      <w:r>
        <w:t xml:space="preserve">).  </w:t>
      </w:r>
      <w:proofErr w:type="gramStart"/>
      <w:r>
        <w:t>Therefore</w:t>
      </w:r>
      <w:proofErr w:type="gramEnd"/>
      <w:r>
        <w:t xml:space="preserve"> the topological content of the BDG action is automatically local.  The sign pattern (the causal orientation) is also local, since each vertex inherits its depth-k sign from the number of edges between it and v, which is a property of the past light cone of v alone.</w:t>
      </w:r>
    </w:p>
    <w:p w14:paraId="31B3275F" w14:textId="77777777" w:rsidR="004D2C06" w:rsidRDefault="00000000">
      <w:pPr>
        <w:spacing w:after="160"/>
      </w:pPr>
      <w:r>
        <w:t xml:space="preserve">Amplitude locality is therefore not an additional axiom to be imported from QFT </w:t>
      </w:r>
      <w:proofErr w:type="spellStart"/>
      <w:r>
        <w:t>microcausality</w:t>
      </w:r>
      <w:proofErr w:type="spellEnd"/>
      <w:r>
        <w:t xml:space="preserve"> but a consequence of the joint structure of the Yeats magnitudes (local by construction from interval counting) and the causal orientation (local by DAG acyclicity).</w:t>
      </w:r>
    </w:p>
    <w:p w14:paraId="40FA3344" w14:textId="77777777" w:rsidR="004D2C06" w:rsidRDefault="004D2C06"/>
    <w:p w14:paraId="598D83AE" w14:textId="77777777" w:rsidR="004D2C06" w:rsidRDefault="00000000">
      <w:pPr>
        <w:pStyle w:val="Heading2"/>
      </w:pPr>
      <w:r>
        <w:t>6.  Summary</w:t>
      </w:r>
    </w:p>
    <w:p w14:paraId="25018B18" w14:textId="77777777" w:rsidR="004D2C06" w:rsidRDefault="00000000">
      <w:pPr>
        <w:spacing w:after="160"/>
      </w:pPr>
      <w:r>
        <w:t>The BDG integer sequence (1, −1, 9, −16, 8) in 4D spacetime factors as:</w:t>
      </w:r>
    </w:p>
    <w:p w14:paraId="4741EC3D" w14:textId="77777777" w:rsidR="004D2C06" w:rsidRDefault="00000000">
      <w:pPr>
        <w:spacing w:after="160"/>
        <w:ind w:left="720"/>
      </w:pPr>
      <w:r>
        <w:rPr>
          <w:rFonts w:ascii="Courier New" w:eastAsia="Courier New" w:hAnsi="Courier New" w:cs="Courier New"/>
          <w:sz w:val="20"/>
          <w:szCs w:val="20"/>
        </w:rPr>
        <w:t>(unsigned Yeats chord multiplicities) × (causal time-orientation signs),</w:t>
      </w:r>
    </w:p>
    <w:p w14:paraId="4710B5CE" w14:textId="77777777" w:rsidR="004D2C06" w:rsidRDefault="00000000">
      <w:pPr>
        <w:spacing w:after="160"/>
      </w:pPr>
      <w:r>
        <w:t>where the unsigned multiplicities are determined by the geometry of the 4D causal diamond and the signs are determined by the causal arrow of time.  This decomposition:</w:t>
      </w:r>
    </w:p>
    <w:p w14:paraId="671B6AE9" w14:textId="77777777" w:rsidR="004D2C06" w:rsidRDefault="00000000">
      <w:pPr>
        <w:spacing w:after="160"/>
      </w:pPr>
      <w:r>
        <w:t>(</w:t>
      </w:r>
      <w:proofErr w:type="spellStart"/>
      <w:r>
        <w:t>i</w:t>
      </w:r>
      <w:proofErr w:type="spellEnd"/>
      <w:r>
        <w:t xml:space="preserve">)   connects the Yeats 2025 combinatorial result to the physical structure of the BDG </w:t>
      </w:r>
      <w:proofErr w:type="gramStart"/>
      <w:r>
        <w:t>action;</w:t>
      </w:r>
      <w:proofErr w:type="gramEnd"/>
    </w:p>
    <w:p w14:paraId="21E16D00" w14:textId="77777777" w:rsidR="004D2C06" w:rsidRDefault="00000000">
      <w:pPr>
        <w:spacing w:after="160"/>
      </w:pPr>
      <w:r>
        <w:t xml:space="preserve">(ii)  explains why the coupling constants (α_EM, α_s) are determined by unsigned magnitudes while the arrow of time is encoded in the </w:t>
      </w:r>
      <w:proofErr w:type="gramStart"/>
      <w:r>
        <w:t>signs;</w:t>
      </w:r>
      <w:proofErr w:type="gramEnd"/>
    </w:p>
    <w:p w14:paraId="601F523E" w14:textId="77777777" w:rsidR="004D2C06" w:rsidRDefault="00000000">
      <w:pPr>
        <w:spacing w:after="160"/>
      </w:pPr>
      <w:r>
        <w:t>(iii) opens a precise tractable question: is the alternating sign pattern derivable from DAG acyclicity alone, making the time asymmetry of RA provably intrinsic rather than imported?</w:t>
      </w:r>
    </w:p>
    <w:p w14:paraId="2CA30C09" w14:textId="77777777" w:rsidR="004D2C06" w:rsidRDefault="00000000">
      <w:pPr>
        <w:spacing w:after="160"/>
      </w:pPr>
      <w:r>
        <w:t>(iv)  supports the amplitude locality result (</w:t>
      </w:r>
      <w:proofErr w:type="spellStart"/>
      <w:r>
        <w:t>RA_AmpLocality.lean</w:t>
      </w:r>
      <w:proofErr w:type="spellEnd"/>
      <w:r>
        <w:t xml:space="preserve">) </w:t>
      </w:r>
      <w:proofErr w:type="gramStart"/>
      <w:r>
        <w:t>as a consequence of</w:t>
      </w:r>
      <w:proofErr w:type="gramEnd"/>
      <w:r>
        <w:t xml:space="preserve"> the joint locality of the Yeats magnitudes and the causal orientation.</w:t>
      </w:r>
    </w:p>
    <w:p w14:paraId="0611843F" w14:textId="77777777" w:rsidR="004D2C06" w:rsidRDefault="004D2C06"/>
    <w:p w14:paraId="690B2998" w14:textId="77777777" w:rsidR="004D2C06" w:rsidRDefault="00000000">
      <w:pPr>
        <w:spacing w:after="160"/>
      </w:pPr>
      <w:r>
        <w:rPr>
          <w:i/>
          <w:iCs/>
        </w:rPr>
        <w:t>The question of whether the sign pattern is a theorem of DAG acyclicity seems well-suited for the causal set community's tools and may be of independent interest for foundational questions about Lorentzian signature.</w:t>
      </w:r>
    </w:p>
    <w:p w14:paraId="6C479BB6" w14:textId="77777777" w:rsidR="004D2C06" w:rsidRDefault="004D2C06"/>
    <w:p w14:paraId="122D79C0" w14:textId="77777777" w:rsidR="004D2C06" w:rsidRDefault="004D2C06"/>
    <w:p w14:paraId="75A46C20" w14:textId="77777777" w:rsidR="004D2C06" w:rsidRDefault="00000000">
      <w:pPr>
        <w:spacing w:before="160" w:after="80"/>
      </w:pPr>
      <w:r>
        <w:rPr>
          <w:b/>
          <w:bCs/>
          <w:sz w:val="20"/>
          <w:szCs w:val="20"/>
        </w:rPr>
        <w:t>References</w:t>
      </w:r>
    </w:p>
    <w:p w14:paraId="3FD4FC5D" w14:textId="77777777" w:rsidR="004D2C06" w:rsidRDefault="00000000">
      <w:pPr>
        <w:spacing w:after="100"/>
      </w:pPr>
      <w:r>
        <w:rPr>
          <w:sz w:val="19"/>
          <w:szCs w:val="19"/>
        </w:rPr>
        <w:t>Benincasa, D. M. T., &amp; Dowker, F. (2010). The scalar curvature of a causal set. Physical Review Letters, 104(18), 181301.</w:t>
      </w:r>
    </w:p>
    <w:p w14:paraId="68E25579" w14:textId="77777777" w:rsidR="004D2C06" w:rsidRDefault="00000000">
      <w:pPr>
        <w:spacing w:after="100"/>
      </w:pPr>
      <w:proofErr w:type="spellStart"/>
      <w:r>
        <w:rPr>
          <w:sz w:val="19"/>
          <w:szCs w:val="19"/>
        </w:rPr>
        <w:t>Bombelli</w:t>
      </w:r>
      <w:proofErr w:type="spellEnd"/>
      <w:r>
        <w:rPr>
          <w:sz w:val="19"/>
          <w:szCs w:val="19"/>
        </w:rPr>
        <w:t>, L., Henson, J., &amp; Sorkin, R. D. (2009). Discreteness without symmetry breaking: a theorem. Modern Physics Letters A, 24(32), 2579–2587.</w:t>
      </w:r>
    </w:p>
    <w:p w14:paraId="4DF5ED0E" w14:textId="77777777" w:rsidR="004D2C06" w:rsidRDefault="00000000">
      <w:pPr>
        <w:spacing w:after="100"/>
      </w:pPr>
      <w:r>
        <w:rPr>
          <w:sz w:val="19"/>
          <w:szCs w:val="19"/>
        </w:rPr>
        <w:t xml:space="preserve">Dowker, F., &amp; Glaser, L. (2013). Causal set </w:t>
      </w:r>
      <w:proofErr w:type="spellStart"/>
      <w:r>
        <w:rPr>
          <w:sz w:val="19"/>
          <w:szCs w:val="19"/>
        </w:rPr>
        <w:t>d'Alembertians</w:t>
      </w:r>
      <w:proofErr w:type="spellEnd"/>
      <w:r>
        <w:rPr>
          <w:sz w:val="19"/>
          <w:szCs w:val="19"/>
        </w:rPr>
        <w:t xml:space="preserve"> for various dimensions. Classical and Quantum Gravity, 30(19), 195016.</w:t>
      </w:r>
    </w:p>
    <w:p w14:paraId="6E9413B7" w14:textId="77777777" w:rsidR="004D2C06" w:rsidRDefault="00000000">
      <w:pPr>
        <w:spacing w:after="100"/>
      </w:pPr>
      <w:r>
        <w:rPr>
          <w:sz w:val="19"/>
          <w:szCs w:val="19"/>
        </w:rPr>
        <w:t xml:space="preserve">Sandeman, J. F. (2026). Relational Actualism and Quantum Mechanics. </w:t>
      </w:r>
      <w:proofErr w:type="spellStart"/>
      <w:r>
        <w:rPr>
          <w:sz w:val="19"/>
          <w:szCs w:val="19"/>
        </w:rPr>
        <w:t>Zenodo</w:t>
      </w:r>
      <w:proofErr w:type="spellEnd"/>
      <w:r>
        <w:rPr>
          <w:sz w:val="19"/>
          <w:szCs w:val="19"/>
        </w:rPr>
        <w:t>. doi:10.5281/zenodo.19362289</w:t>
      </w:r>
    </w:p>
    <w:p w14:paraId="41C54752" w14:textId="77777777" w:rsidR="004D2C06" w:rsidRDefault="00000000">
      <w:pPr>
        <w:spacing w:after="100"/>
      </w:pPr>
      <w:r>
        <w:rPr>
          <w:sz w:val="19"/>
          <w:szCs w:val="19"/>
        </w:rPr>
        <w:t xml:space="preserve">Sandeman, J. F. (2026). </w:t>
      </w:r>
      <w:proofErr w:type="spellStart"/>
      <w:r>
        <w:rPr>
          <w:sz w:val="19"/>
          <w:szCs w:val="19"/>
        </w:rPr>
        <w:t>RA_AmpLocality.lean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Zenodo</w:t>
      </w:r>
      <w:proofErr w:type="spellEnd"/>
      <w:r>
        <w:rPr>
          <w:sz w:val="19"/>
          <w:szCs w:val="19"/>
        </w:rPr>
        <w:t xml:space="preserve"> (companion to above).</w:t>
      </w:r>
    </w:p>
    <w:p w14:paraId="484DE796" w14:textId="77777777" w:rsidR="004D2C06" w:rsidRDefault="00000000">
      <w:pPr>
        <w:spacing w:after="100"/>
      </w:pPr>
      <w:r>
        <w:rPr>
          <w:sz w:val="19"/>
          <w:szCs w:val="19"/>
        </w:rPr>
        <w:t xml:space="preserve">Sorkin, R. D. (1991). Spacetime and causal sets. In J. C. </w:t>
      </w:r>
      <w:proofErr w:type="spellStart"/>
      <w:r>
        <w:rPr>
          <w:sz w:val="19"/>
          <w:szCs w:val="19"/>
        </w:rPr>
        <w:t>D'Olivo</w:t>
      </w:r>
      <w:proofErr w:type="spellEnd"/>
      <w:r>
        <w:rPr>
          <w:sz w:val="19"/>
          <w:szCs w:val="19"/>
        </w:rPr>
        <w:t xml:space="preserve"> et al. (Eds.), Relativity and Gravitation: Classical and Quantum. World Scientific.</w:t>
      </w:r>
    </w:p>
    <w:p w14:paraId="6FBA3450" w14:textId="77777777" w:rsidR="004D2C06" w:rsidRDefault="00000000">
      <w:pPr>
        <w:spacing w:after="100"/>
      </w:pPr>
      <w:r>
        <w:rPr>
          <w:sz w:val="19"/>
          <w:szCs w:val="19"/>
        </w:rPr>
        <w:t>Yeats, K. (2025). Chord diagram combinatorics and the BDG causal set action. Preprint.</w:t>
      </w:r>
    </w:p>
    <w:sectPr w:rsidR="004D2C0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663AB"/>
    <w:multiLevelType w:val="hybridMultilevel"/>
    <w:tmpl w:val="D056F138"/>
    <w:lvl w:ilvl="0" w:tplc="95BCCE2E">
      <w:start w:val="1"/>
      <w:numFmt w:val="bullet"/>
      <w:lvlText w:val="●"/>
      <w:lvlJc w:val="left"/>
      <w:pPr>
        <w:ind w:left="720" w:hanging="360"/>
      </w:pPr>
    </w:lvl>
    <w:lvl w:ilvl="1" w:tplc="71AA1BC2">
      <w:start w:val="1"/>
      <w:numFmt w:val="bullet"/>
      <w:lvlText w:val="○"/>
      <w:lvlJc w:val="left"/>
      <w:pPr>
        <w:ind w:left="1440" w:hanging="360"/>
      </w:pPr>
    </w:lvl>
    <w:lvl w:ilvl="2" w:tplc="653C1AAA">
      <w:start w:val="1"/>
      <w:numFmt w:val="bullet"/>
      <w:lvlText w:val="■"/>
      <w:lvlJc w:val="left"/>
      <w:pPr>
        <w:ind w:left="2160" w:hanging="360"/>
      </w:pPr>
    </w:lvl>
    <w:lvl w:ilvl="3" w:tplc="2C36630C">
      <w:start w:val="1"/>
      <w:numFmt w:val="bullet"/>
      <w:lvlText w:val="●"/>
      <w:lvlJc w:val="left"/>
      <w:pPr>
        <w:ind w:left="2880" w:hanging="360"/>
      </w:pPr>
    </w:lvl>
    <w:lvl w:ilvl="4" w:tplc="4432C886">
      <w:start w:val="1"/>
      <w:numFmt w:val="bullet"/>
      <w:lvlText w:val="○"/>
      <w:lvlJc w:val="left"/>
      <w:pPr>
        <w:ind w:left="3600" w:hanging="360"/>
      </w:pPr>
    </w:lvl>
    <w:lvl w:ilvl="5" w:tplc="4EEE9A6A">
      <w:start w:val="1"/>
      <w:numFmt w:val="bullet"/>
      <w:lvlText w:val="■"/>
      <w:lvlJc w:val="left"/>
      <w:pPr>
        <w:ind w:left="4320" w:hanging="360"/>
      </w:pPr>
    </w:lvl>
    <w:lvl w:ilvl="6" w:tplc="3AB24800">
      <w:start w:val="1"/>
      <w:numFmt w:val="bullet"/>
      <w:lvlText w:val="●"/>
      <w:lvlJc w:val="left"/>
      <w:pPr>
        <w:ind w:left="5040" w:hanging="360"/>
      </w:pPr>
    </w:lvl>
    <w:lvl w:ilvl="7" w:tplc="7A0C794A">
      <w:start w:val="1"/>
      <w:numFmt w:val="bullet"/>
      <w:lvlText w:val="●"/>
      <w:lvlJc w:val="left"/>
      <w:pPr>
        <w:ind w:left="5760" w:hanging="360"/>
      </w:pPr>
    </w:lvl>
    <w:lvl w:ilvl="8" w:tplc="7D5EFCFA">
      <w:start w:val="1"/>
      <w:numFmt w:val="bullet"/>
      <w:lvlText w:val="●"/>
      <w:lvlJc w:val="left"/>
      <w:pPr>
        <w:ind w:left="6480" w:hanging="360"/>
      </w:pPr>
    </w:lvl>
  </w:abstractNum>
  <w:num w:numId="1" w16cid:durableId="330375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C06"/>
    <w:rsid w:val="004D2C06"/>
    <w:rsid w:val="006F1ACC"/>
    <w:rsid w:val="00BA0B5D"/>
    <w:rsid w:val="00C345CD"/>
    <w:rsid w:val="00D8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E7F4BD"/>
  <w15:docId w15:val="{C598DE56-F3F9-A84D-99E2-CA39B242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A1A1A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D3A4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1386</Words>
  <Characters>7454</Characters>
  <Application>Microsoft Office Word</Application>
  <DocSecurity>0</DocSecurity>
  <Lines>137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Sandeman</cp:lastModifiedBy>
  <cp:revision>2</cp:revision>
  <dcterms:created xsi:type="dcterms:W3CDTF">2026-04-03T12:40:00Z</dcterms:created>
  <dcterms:modified xsi:type="dcterms:W3CDTF">2026-04-03T12:40:00Z</dcterms:modified>
</cp:coreProperties>
</file>