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RAKB Build, Paper Generation, and New Session Guide</w:t>
      </w:r>
    </w:p>
    <w:p>
      <w:pPr>
        <w:jc w:val="center"/>
      </w:pPr>
      <w:r>
        <w:rPr>
          <w:i/>
        </w:rPr>
        <w:t>Relational Actualism reference workflow - April 28, 2026</w:t>
      </w:r>
    </w:p>
    <w:p>
      <w:r>
        <w:t>This document records the repeatable workflow for keeping the Relational Actualism Knowledge Base (RAKB), canonical paper TeX sources, Lean/Python evidence layer, and new AI sessions synchronized.</w:t>
      </w:r>
    </w:p>
    <w:p>
      <w:pPr>
        <w:pStyle w:val="Heading1"/>
      </w:pPr>
      <w:r>
        <w:t>1. Current status</w:t>
      </w:r>
    </w:p>
    <w:p>
      <w:pPr>
        <w:pStyle w:val="ListBullet"/>
      </w:pPr>
      <w:r>
        <w:t>RAKB v0.5/v0.5.1 is the typed, source-backed knowledge-base state.</w:t>
      </w:r>
    </w:p>
    <w:p>
      <w:pPr>
        <w:pStyle w:val="ListBullet"/>
      </w:pPr>
      <w:r>
        <w:t>Lean Stage A is build-confirmed with no executable sorry/admit in the active closure. The environment should be pinned in reports/lake_env_*.txt and the build in reports/lake_build_*.log.</w:t>
      </w:r>
    </w:p>
    <w:p>
      <w:pPr>
        <w:pStyle w:val="ListBullet"/>
      </w:pPr>
      <w:r>
        <w:t>Python Stage B is source-audited and registry-integrated. Treat Python artifacts according to relation type: computes, benchmarks, candidate_support, bridge_only, generated_output_for, or do_not_promote.</w:t>
      </w:r>
    </w:p>
    <w:p>
      <w:pPr>
        <w:pStyle w:val="ListBullet"/>
      </w:pPr>
      <w:r>
        <w:t>Stage C maps canonical paper sections to RAKB nodes and identifies over-pruned/restoration material.</w:t>
      </w:r>
    </w:p>
    <w:p>
      <w:pPr>
        <w:pStyle w:val="ListBullet"/>
      </w:pPr>
      <w:r>
        <w:t>Stage D synthesizes node coverage, gap register, promotion/restoration queue, evidence health, attention index, and release readiness.</w:t>
      </w:r>
    </w:p>
    <w:p>
      <w:pPr>
        <w:pStyle w:val="Heading1"/>
      </w:pPr>
      <w:r>
        <w:t>2. Directory conventions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top"/>
          </w:tcPr>
          <w:p>
            <w:r/>
            <w:r>
              <w:rPr>
                <w:b/>
              </w:rPr>
              <w:t>Path</w:t>
            </w:r>
          </w:p>
        </w:tc>
        <w:tc>
          <w:tcPr>
            <w:tcW w:type="dxa" w:w="5040"/>
            <w:shd w:fill="EDEDED"/>
            <w:vAlign w:val="top"/>
          </w:tcPr>
          <w:p>
            <w:r/>
            <w:r>
              <w:rPr>
                <w:b/>
              </w:rPr>
              <w:t>Purpose</w:t>
            </w:r>
          </w:p>
        </w:tc>
      </w:tr>
      <w:tr>
        <w:tc>
          <w:tcPr>
            <w:tcW w:type="dxa" w:w="5040"/>
            <w:vAlign w:val="top"/>
          </w:tcPr>
          <w:p>
            <w:r>
              <w:t>docs/RA_KB/registry</w:t>
            </w:r>
          </w:p>
        </w:tc>
        <w:tc>
          <w:tcPr>
            <w:tcW w:type="dxa" w:w="5040"/>
            <w:vAlign w:val="top"/>
          </w:tcPr>
          <w:p>
            <w:r>
              <w:t>Canonical typed KB state: claims, issues, targets, framing, artifacts, claim-artifact edges, source-text references, restoration candidates.</w:t>
            </w:r>
          </w:p>
        </w:tc>
      </w:tr>
      <w:tr>
        <w:tc>
          <w:tcPr>
            <w:tcW w:type="dxa" w:w="5040"/>
            <w:vAlign w:val="top"/>
          </w:tcPr>
          <w:p>
            <w:r>
              <w:t>docs/RA_KB/reports</w:t>
            </w:r>
          </w:p>
        </w:tc>
        <w:tc>
          <w:tcPr>
            <w:tcW w:type="dxa" w:w="5040"/>
            <w:vAlign w:val="top"/>
          </w:tcPr>
          <w:p>
            <w:r>
              <w:t>Generated audit reports, build logs, evidence health reports, crosswalks, and release notes.</w:t>
            </w:r>
          </w:p>
        </w:tc>
      </w:tr>
      <w:tr>
        <w:tc>
          <w:tcPr>
            <w:tcW w:type="dxa" w:w="5040"/>
            <w:vAlign w:val="top"/>
          </w:tcPr>
          <w:p>
            <w:r>
              <w:t>docs/RA_KB/scripts</w:t>
            </w:r>
          </w:p>
        </w:tc>
        <w:tc>
          <w:tcPr>
            <w:tcW w:type="dxa" w:w="5040"/>
            <w:vAlign w:val="top"/>
          </w:tcPr>
          <w:p>
            <w:r>
              <w:t>Reusable KB scripts: validation, upsert application, TeX ID regeneration, bibliography extraction.</w:t>
            </w:r>
          </w:p>
        </w:tc>
      </w:tr>
      <w:tr>
        <w:tc>
          <w:tcPr>
            <w:tcW w:type="dxa" w:w="5040"/>
            <w:vAlign w:val="top"/>
          </w:tcPr>
          <w:p>
            <w:r>
              <w:t>docs/RA_Canonical_Papers</w:t>
            </w:r>
          </w:p>
        </w:tc>
        <w:tc>
          <w:tcPr>
            <w:tcW w:type="dxa" w:w="5040"/>
            <w:vAlign w:val="top"/>
          </w:tcPr>
          <w:p>
            <w:r>
              <w:t>Canonical TeX/PDF paper sources.</w:t>
            </w:r>
          </w:p>
        </w:tc>
      </w:tr>
      <w:tr>
        <w:tc>
          <w:tcPr>
            <w:tcW w:type="dxa" w:w="5040"/>
            <w:vAlign w:val="top"/>
          </w:tcPr>
          <w:p>
            <w:r>
              <w:t>docs/RA_Canonical_Papers/common</w:t>
            </w:r>
          </w:p>
        </w:tc>
        <w:tc>
          <w:tcPr>
            <w:tcW w:type="dxa" w:w="5040"/>
            <w:vAlign w:val="top"/>
          </w:tcPr>
          <w:p>
            <w:r>
              <w:t>Shared suite style file(s) and canonical bibliography file.</w:t>
            </w:r>
          </w:p>
        </w:tc>
      </w:tr>
      <w:tr>
        <w:tc>
          <w:tcPr>
            <w:tcW w:type="dxa" w:w="5040"/>
            <w:vAlign w:val="top"/>
          </w:tcPr>
          <w:p>
            <w:r>
              <w:t>docs/RA_Canonical_Papers/RAKB_TeX_RAKB_IDs</w:t>
            </w:r>
          </w:p>
        </w:tc>
        <w:tc>
          <w:tcPr>
            <w:tcW w:type="dxa" w:w="5040"/>
            <w:vAlign w:val="top"/>
          </w:tcPr>
          <w:p>
            <w:r>
              <w:t>Generated RAKB-tagged TeX outputs and reports.</w:t>
            </w:r>
          </w:p>
        </w:tc>
      </w:tr>
      <w:tr>
        <w:tc>
          <w:tcPr>
            <w:tcW w:type="dxa" w:w="5040"/>
            <w:vAlign w:val="top"/>
          </w:tcPr>
          <w:p>
            <w:r>
              <w:t>src/RA_AQFT</w:t>
            </w:r>
          </w:p>
        </w:tc>
        <w:tc>
          <w:tcPr>
            <w:tcW w:type="dxa" w:w="5040"/>
            <w:vAlign w:val="top"/>
          </w:tcPr>
          <w:p>
            <w:r>
              <w:t>Lean formal source surface and many Python computation scripts.</w:t>
            </w:r>
          </w:p>
        </w:tc>
      </w:tr>
      <w:tr>
        <w:tc>
          <w:tcPr>
            <w:tcW w:type="dxa" w:w="5040"/>
            <w:vAlign w:val="top"/>
          </w:tcPr>
          <w:p>
            <w:r>
              <w:t>src/RA_Complexity; data/DFT_Survey</w:t>
            </w:r>
          </w:p>
        </w:tc>
        <w:tc>
          <w:tcPr>
            <w:tcW w:type="dxa" w:w="5040"/>
            <w:vAlign w:val="top"/>
          </w:tcPr>
          <w:p>
            <w:r>
              <w:t>Complexity/life/thermodynamics computation surface.</w:t>
            </w:r>
          </w:p>
        </w:tc>
      </w:tr>
    </w:tbl>
    <w:p>
      <w:pPr>
        <w:pStyle w:val="Heading1"/>
      </w:pPr>
      <w:r>
        <w:t>3. Version-specific issue and durable fix</w:t>
      </w:r>
    </w:p>
    <w:p>
      <w:r>
        <w:t>The folder name RAKB_TeX_RAKB_IDs_Apr28_2026 is useful as a dated run artifact, but it is not ideal as the permanent path for a repeatable paper-build workflow. Keep dated runs for provenance, but add a stable current path.</w:t>
      </w:r>
    </w:p>
    <w:p>
      <w:pPr>
        <w:pStyle w:val="CodeBlock"/>
      </w:pPr>
      <w:r>
        <w:rPr>
          <w:rFonts w:ascii="Courier New" w:hAnsi="Courier New"/>
          <w:sz w:val="17"/>
        </w:rPr>
        <w:t>docs/RA_Canonical_Papers/RAKB_TeX_RAKB_IDs/</w:t>
      </w:r>
    </w:p>
    <w:p>
      <w:pPr>
        <w:pStyle w:val="CodeBlock"/>
      </w:pPr>
      <w:r>
        <w:rPr>
          <w:rFonts w:ascii="Courier New" w:hAnsi="Courier New"/>
          <w:sz w:val="17"/>
        </w:rPr>
        <w:t xml:space="preserve">  current/              # latest generated TeX, diffs, reports</w:t>
      </w:r>
    </w:p>
    <w:p>
      <w:pPr>
        <w:pStyle w:val="CodeBlock"/>
      </w:pPr>
      <w:r>
        <w:rPr>
          <w:rFonts w:ascii="Courier New" w:hAnsi="Courier New"/>
          <w:sz w:val="17"/>
        </w:rPr>
        <w:t xml:space="preserve">  runs/</w:t>
      </w:r>
    </w:p>
    <w:p>
      <w:pPr>
        <w:pStyle w:val="CodeBlock"/>
      </w:pPr>
      <w:r>
        <w:rPr>
          <w:rFonts w:ascii="Courier New" w:hAnsi="Courier New"/>
          <w:sz w:val="17"/>
        </w:rPr>
        <w:t xml:space="preserve">    2026-04-28/         # dated provenance</w:t>
      </w:r>
    </w:p>
    <w:p>
      <w:pPr>
        <w:pStyle w:val="CodeBlock"/>
      </w:pPr>
      <w:r>
        <w:rPr>
          <w:rFonts w:ascii="Courier New" w:hAnsi="Courier New"/>
          <w:sz w:val="17"/>
        </w:rPr>
        <w:t xml:space="preserve">    2026-05-xx/</w:t>
      </w:r>
    </w:p>
    <w:p>
      <w:r>
        <w:t>Recommended hardening: add a paper_manifest.yaml so scripts do not depend on versioned paper filenames. When paper filenames change, update the manifest rather than editing scripts.</w:t>
      </w:r>
    </w:p>
    <w:p>
      <w:pPr>
        <w:pStyle w:val="CodeBlock"/>
      </w:pPr>
      <w:r>
        <w:rPr>
          <w:rFonts w:ascii="Courier New" w:hAnsi="Courier New"/>
          <w:sz w:val="17"/>
        </w:rPr>
        <w:t>docs/RA_Canonical_Papers/paper_manifest.yaml</w:t>
      </w:r>
    </w:p>
    <w:p>
      <w:pPr>
        <w:pStyle w:val="CodeBlock"/>
      </w:pPr>
      <w:r>
        <w:rPr>
          <w:rFonts w:ascii="Courier New" w:hAnsi="Courier New"/>
          <w:sz w:val="17"/>
        </w:rPr>
        <w:t>docs/RA_Canonical_Papers/common/ra_suite.sty</w:t>
      </w:r>
    </w:p>
    <w:p>
      <w:pPr>
        <w:pStyle w:val="CodeBlock"/>
      </w:pPr>
      <w:r>
        <w:rPr>
          <w:rFonts w:ascii="Courier New" w:hAnsi="Courier New"/>
          <w:sz w:val="17"/>
        </w:rPr>
        <w:t>docs/RA_Canonical_Papers/common/ra_references.bib</w:t>
      </w:r>
    </w:p>
    <w:p>
      <w:pPr>
        <w:pStyle w:val="Heading1"/>
      </w:pPr>
      <w:r>
        <w:t>4. Regenerating RA-* IDs in TeX</w:t>
      </w:r>
    </w:p>
    <w:p>
      <w:r>
        <w:t>The RA-* IDs in TeX should be generated from RAKB, not hand-edited. The generated comments are non-rendering TeX comments of the form:</w:t>
      </w:r>
    </w:p>
    <w:p>
      <w:pPr>
        <w:pStyle w:val="CodeBlock"/>
      </w:pPr>
      <w:r>
        <w:rPr>
          <w:rFonts w:ascii="Courier New" w:hAnsi="Courier New"/>
          <w:sz w:val="17"/>
        </w:rPr>
        <w:t>% RAKB: RA-ONT-001;RA-LLC-001</w:t>
      </w:r>
    </w:p>
    <w:p>
      <w:pPr>
        <w:pStyle w:val="CodeBlock"/>
      </w:pPr>
      <w:r>
        <w:rPr>
          <w:rFonts w:ascii="Courier New" w:hAnsi="Courier New"/>
          <w:sz w:val="17"/>
        </w:rPr>
        <w:t>\subsection{From causal order to universe-state}</w:t>
      </w:r>
    </w:p>
    <w:p>
      <w:r>
        <w:t>Preferred workflow from the repository root:</w:t>
      </w:r>
    </w:p>
    <w:p>
      <w:pPr>
        <w:pStyle w:val="CodeBlock"/>
      </w:pPr>
      <w:r>
        <w:rPr>
          <w:rFonts w:ascii="Courier New" w:hAnsi="Courier New"/>
          <w:sz w:val="17"/>
        </w:rPr>
        <w:t>python docs/RA_KB/scripts/validate_rakb_v0_5.py</w:t>
      </w:r>
    </w:p>
    <w:p>
      <w:pPr>
        <w:pStyle w:val="CodeBlock"/>
      </w:pPr>
      <w:r>
        <w:rPr>
          <w:rFonts w:ascii="Courier New" w:hAnsi="Courier New"/>
          <w:sz w:val="17"/>
        </w:rPr>
      </w:r>
    </w:p>
    <w:p>
      <w:pPr>
        <w:pStyle w:val="CodeBlock"/>
      </w:pPr>
      <w:r>
        <w:rPr>
          <w:rFonts w:ascii="Courier New" w:hAnsi="Courier New"/>
          <w:sz w:val="17"/>
        </w:rPr>
        <w:t>python docs/RA_KB/scripts/rakb_generate_tex_ids.py \</w:t>
      </w:r>
    </w:p>
    <w:p>
      <w:pPr>
        <w:pStyle w:val="CodeBlock"/>
      </w:pPr>
      <w:r>
        <w:rPr>
          <w:rFonts w:ascii="Courier New" w:hAnsi="Courier New"/>
          <w:sz w:val="17"/>
        </w:rPr>
        <w:t xml:space="preserve">  --repo . \</w:t>
      </w:r>
    </w:p>
    <w:p>
      <w:pPr>
        <w:pStyle w:val="CodeBlock"/>
      </w:pPr>
      <w:r>
        <w:rPr>
          <w:rFonts w:ascii="Courier New" w:hAnsi="Courier New"/>
          <w:sz w:val="17"/>
        </w:rPr>
        <w:t xml:space="preserve">  --output-root docs/RA_Canonical_Papers/RAKB_TeX_RAKB_IDs/current \</w:t>
      </w:r>
    </w:p>
    <w:p>
      <w:pPr>
        <w:pStyle w:val="CodeBlock"/>
      </w:pPr>
      <w:r>
        <w:rPr>
          <w:rFonts w:ascii="Courier New" w:hAnsi="Courier New"/>
          <w:sz w:val="17"/>
        </w:rPr>
        <w:t xml:space="preserve">  --mapping-source registry \</w:t>
      </w:r>
    </w:p>
    <w:p>
      <w:pPr>
        <w:pStyle w:val="CodeBlock"/>
      </w:pPr>
      <w:r>
        <w:rPr>
          <w:rFonts w:ascii="Courier New" w:hAnsi="Courier New"/>
          <w:sz w:val="17"/>
        </w:rPr>
        <w:t xml:space="preserve">  --drop-in \</w:t>
      </w:r>
    </w:p>
    <w:p>
      <w:pPr>
        <w:pStyle w:val="CodeBlock"/>
      </w:pPr>
      <w:r>
        <w:rPr>
          <w:rFonts w:ascii="Courier New" w:hAnsi="Courier New"/>
          <w:sz w:val="17"/>
        </w:rPr>
        <w:t xml:space="preserve">  --fail-on-unmatched</w:t>
      </w:r>
    </w:p>
    <w:p>
      <w:r>
        <w:t>If the registry mapping is temporarily incomplete, use the prior Stage D plan only as a bootstrap source:</w:t>
      </w:r>
    </w:p>
    <w:p>
      <w:pPr>
        <w:pStyle w:val="CodeBlock"/>
      </w:pPr>
      <w:r>
        <w:rPr>
          <w:rFonts w:ascii="Courier New" w:hAnsi="Courier New"/>
          <w:sz w:val="17"/>
        </w:rPr>
        <w:t>python docs/RA_KB/scripts/rakb_generate_tex_ids.py \</w:t>
      </w:r>
    </w:p>
    <w:p>
      <w:pPr>
        <w:pStyle w:val="CodeBlock"/>
      </w:pPr>
      <w:r>
        <w:rPr>
          <w:rFonts w:ascii="Courier New" w:hAnsi="Courier New"/>
          <w:sz w:val="17"/>
        </w:rPr>
        <w:t xml:space="preserve">  --repo . \</w:t>
      </w:r>
    </w:p>
    <w:p>
      <w:pPr>
        <w:pStyle w:val="CodeBlock"/>
      </w:pPr>
      <w:r>
        <w:rPr>
          <w:rFonts w:ascii="Courier New" w:hAnsi="Courier New"/>
          <w:sz w:val="17"/>
        </w:rPr>
        <w:t xml:space="preserve">  --output-root docs/RA_Canonical_Papers/RAKB_TeX_RAKB_IDs/current \</w:t>
      </w:r>
    </w:p>
    <w:p>
      <w:pPr>
        <w:pStyle w:val="CodeBlock"/>
      </w:pPr>
      <w:r>
        <w:rPr>
          <w:rFonts w:ascii="Courier New" w:hAnsi="Courier New"/>
          <w:sz w:val="17"/>
        </w:rPr>
        <w:t xml:space="preserve">  --plan-csv docs/RA_Canonical_Papers/RAKB_TeX_RAKB_IDs/current/reports/RAKB_stageD_tex_rakb_comment_plan_Apr28_2026.csv \</w:t>
      </w:r>
    </w:p>
    <w:p>
      <w:pPr>
        <w:pStyle w:val="CodeBlock"/>
      </w:pPr>
      <w:r>
        <w:rPr>
          <w:rFonts w:ascii="Courier New" w:hAnsi="Courier New"/>
          <w:sz w:val="17"/>
        </w:rPr>
        <w:t xml:space="preserve">  --mapping-source plan \</w:t>
      </w:r>
    </w:p>
    <w:p>
      <w:pPr>
        <w:pStyle w:val="CodeBlock"/>
      </w:pPr>
      <w:r>
        <w:rPr>
          <w:rFonts w:ascii="Courier New" w:hAnsi="Courier New"/>
          <w:sz w:val="17"/>
        </w:rPr>
        <w:t xml:space="preserve">  --drop-in \</w:t>
      </w:r>
    </w:p>
    <w:p>
      <w:pPr>
        <w:pStyle w:val="CodeBlock"/>
      </w:pPr>
      <w:r>
        <w:rPr>
          <w:rFonts w:ascii="Courier New" w:hAnsi="Courier New"/>
          <w:sz w:val="17"/>
        </w:rPr>
        <w:t xml:space="preserve">  --fail-on-unmatched</w:t>
      </w:r>
    </w:p>
    <w:p>
      <w:r>
        <w:t>Going forward, prefer --mapping-source registry, because source_text_references.csv is the canonical paper-to-RAKB mapping.</w:t>
      </w:r>
    </w:p>
    <w:p>
      <w:pPr>
        <w:pStyle w:val="Heading1"/>
      </w:pPr>
      <w:r>
        <w:t>5. Compiling the papers</w:t>
      </w:r>
    </w:p>
    <w:p>
      <w:r>
        <w:t>From docs/RA_Canonical_Papers:</w:t>
      </w:r>
    </w:p>
    <w:p>
      <w:pPr>
        <w:pStyle w:val="CodeBlock"/>
      </w:pPr>
      <w:r>
        <w:rPr>
          <w:rFonts w:ascii="Courier New" w:hAnsi="Courier New"/>
          <w:sz w:val="17"/>
        </w:rPr>
        <w:t>make -f Makefile.rakb ids</w:t>
      </w:r>
    </w:p>
    <w:p>
      <w:pPr>
        <w:pStyle w:val="CodeBlock"/>
      </w:pPr>
      <w:r>
        <w:rPr>
          <w:rFonts w:ascii="Courier New" w:hAnsi="Courier New"/>
          <w:sz w:val="17"/>
        </w:rPr>
        <w:t>make -f Makefile.rakb check-ids</w:t>
      </w:r>
    </w:p>
    <w:p>
      <w:pPr>
        <w:pStyle w:val="CodeBlock"/>
      </w:pPr>
      <w:r>
        <w:rPr>
          <w:rFonts w:ascii="Courier New" w:hAnsi="Courier New"/>
          <w:sz w:val="17"/>
        </w:rPr>
        <w:t>make -f Makefile.rakb compile-generated</w:t>
      </w:r>
    </w:p>
    <w:p>
      <w:pPr>
        <w:pStyle w:val="CodeBlock"/>
      </w:pPr>
      <w:r>
        <w:rPr>
          <w:rFonts w:ascii="Courier New" w:hAnsi="Courier New"/>
          <w:sz w:val="17"/>
        </w:rPr>
        <w:t>make -f Makefile.rakb bib-audit</w:t>
      </w:r>
    </w:p>
    <w:p>
      <w:r>
        <w:t>Or compile directly:</w:t>
      </w:r>
    </w:p>
    <w:p>
      <w:pPr>
        <w:pStyle w:val="CodeBlock"/>
      </w:pPr>
      <w:r>
        <w:rPr>
          <w:rFonts w:ascii="Courier New" w:hAnsi="Courier New"/>
          <w:sz w:val="17"/>
        </w:rPr>
        <w:t>cd docs/RA_Canonical_Papers</w:t>
      </w:r>
    </w:p>
    <w:p>
      <w:pPr>
        <w:pStyle w:val="CodeBlock"/>
      </w:pPr>
      <w:r>
        <w:rPr>
          <w:rFonts w:ascii="Courier New" w:hAnsi="Courier New"/>
          <w:sz w:val="17"/>
        </w:rPr>
        <w:t>latexmk -pdf -interaction=nonstopmode -halt-on-error *.tex</w:t>
      </w:r>
    </w:p>
    <w:p>
      <w:pPr>
        <w:pStyle w:val="Heading1"/>
      </w:pPr>
      <w:r>
        <w:t>6. Shared style and bibliography</w:t>
      </w:r>
    </w:p>
    <w:p>
      <w:r>
        <w:t>Use a common style layer to avoid repeating package declarations and macros across the four papers.</w:t>
      </w:r>
    </w:p>
    <w:p>
      <w:pPr>
        <w:pStyle w:val="CodeBlock"/>
      </w:pPr>
      <w:r>
        <w:rPr>
          <w:rFonts w:ascii="Courier New" w:hAnsi="Courier New"/>
          <w:sz w:val="17"/>
        </w:rPr>
        <w:t>\usepackage{common/ra_suite}</w:t>
      </w:r>
    </w:p>
    <w:p>
      <w:r>
        <w:t>Use a canonical BibTeX file for shared references:</w:t>
      </w:r>
    </w:p>
    <w:p>
      <w:pPr>
        <w:pStyle w:val="CodeBlock"/>
      </w:pPr>
      <w:r>
        <w:rPr>
          <w:rFonts w:ascii="Courier New" w:hAnsi="Courier New"/>
          <w:sz w:val="17"/>
        </w:rPr>
        <w:t>\bibliographystyle{unsrt}</w:t>
      </w:r>
    </w:p>
    <w:p>
      <w:pPr>
        <w:pStyle w:val="CodeBlock"/>
      </w:pPr>
      <w:r>
        <w:rPr>
          <w:rFonts w:ascii="Courier New" w:hAnsi="Courier New"/>
          <w:sz w:val="17"/>
        </w:rPr>
        <w:t>\bibliography{common/ra_references}</w:t>
      </w:r>
    </w:p>
    <w:p>
      <w:r>
        <w:t>Do not migrate all thebibliography blocks automatically in the same commit as RAKB-ID annotation. Bibliography migration can alter rendered references and should be separately reviewed.</w:t>
      </w:r>
    </w:p>
    <w:p>
      <w:r>
        <w:t>Useful extraction command:</w:t>
      </w:r>
    </w:p>
    <w:p>
      <w:pPr>
        <w:pStyle w:val="CodeBlock"/>
      </w:pPr>
      <w:r>
        <w:rPr>
          <w:rFonts w:ascii="Courier New" w:hAnsi="Courier New"/>
          <w:sz w:val="17"/>
        </w:rPr>
        <w:t>python docs/RA_KB/scripts/rakb_extract_bibitems.py \</w:t>
      </w:r>
    </w:p>
    <w:p>
      <w:pPr>
        <w:pStyle w:val="CodeBlock"/>
      </w:pPr>
      <w:r>
        <w:rPr>
          <w:rFonts w:ascii="Courier New" w:hAnsi="Courier New"/>
          <w:sz w:val="17"/>
        </w:rPr>
        <w:t xml:space="preserve">  --repo . \</w:t>
      </w:r>
    </w:p>
    <w:p>
      <w:pPr>
        <w:pStyle w:val="CodeBlock"/>
      </w:pPr>
      <w:r>
        <w:rPr>
          <w:rFonts w:ascii="Courier New" w:hAnsi="Courier New"/>
          <w:sz w:val="17"/>
        </w:rPr>
        <w:t xml:space="preserve">  --out docs/RA_Canonical_Papers/RAKB_TeX_RAKB_IDs/current/reports \</w:t>
      </w:r>
    </w:p>
    <w:p>
      <w:pPr>
        <w:pStyle w:val="CodeBlock"/>
      </w:pPr>
      <w:r>
        <w:rPr>
          <w:rFonts w:ascii="Courier New" w:hAnsi="Courier New"/>
          <w:sz w:val="17"/>
        </w:rPr>
        <w:t xml:space="preserve">  --bib-out docs/RA_Canonical_Papers/common/ra_references_seed_from_bibitems.bib</w:t>
      </w:r>
    </w:p>
    <w:p>
      <w:pPr>
        <w:pStyle w:val="Heading1"/>
      </w:pPr>
      <w:r>
        <w:t>7. Updating RAKB and papers together</w:t>
      </w:r>
    </w:p>
    <w:p>
      <w:pPr>
        <w:pStyle w:val="ListNumber"/>
      </w:pPr>
      <w:r>
        <w:t>Edit the registry first: claims, issues, targets, artifacts, claim_artifact_edges, source_text_references, or restoration_candidates.</w:t>
      </w:r>
    </w:p>
    <w:p>
      <w:pPr>
        <w:pStyle w:val="ListNumber"/>
      </w:pPr>
      <w:r>
        <w:t>Validate the registry with scripts/validate_rakb_v0_5.py.</w:t>
      </w:r>
    </w:p>
    <w:p>
      <w:pPr>
        <w:pStyle w:val="ListNumber"/>
      </w:pPr>
      <w:r>
        <w:t>Regenerate TeX RA-* comments from source_text_references.csv.</w:t>
      </w:r>
    </w:p>
    <w:p>
      <w:pPr>
        <w:pStyle w:val="ListNumber"/>
      </w:pPr>
      <w:r>
        <w:t>Compile the papers.</w:t>
      </w:r>
    </w:p>
    <w:p>
      <w:pPr>
        <w:pStyle w:val="ListNumber"/>
      </w:pPr>
      <w:r>
        <w:t>Inspect reports: unmatched mapping rows, unmapped sections, registry ID warnings, and compile logs.</w:t>
      </w:r>
    </w:p>
    <w:p>
      <w:pPr>
        <w:pStyle w:val="ListNumber"/>
      </w:pPr>
      <w:r>
        <w:t>Commit registry updates and generated TeX updates as separate commits when possible.</w:t>
      </w:r>
    </w:p>
    <w:p>
      <w:r>
        <w:t>Suggested commit sequence:</w:t>
      </w:r>
    </w:p>
    <w:p>
      <w:pPr>
        <w:pStyle w:val="CodeBlock"/>
      </w:pPr>
      <w:r>
        <w:rPr>
          <w:rFonts w:ascii="Courier New" w:hAnsi="Courier New"/>
          <w:sz w:val="17"/>
        </w:rPr>
        <w:t>git add docs/RA_KB/registry docs/RA_KB/reports docs/RA_KB/scripts</w:t>
      </w:r>
    </w:p>
    <w:p>
      <w:pPr>
        <w:pStyle w:val="CodeBlock"/>
      </w:pPr>
      <w:r>
        <w:rPr>
          <w:rFonts w:ascii="Courier New" w:hAnsi="Courier New"/>
          <w:sz w:val="17"/>
        </w:rPr>
        <w:t>git commit -m "RAKB: update registry mapping"</w:t>
      </w:r>
    </w:p>
    <w:p>
      <w:pPr>
        <w:pStyle w:val="CodeBlock"/>
      </w:pPr>
      <w:r>
        <w:rPr>
          <w:rFonts w:ascii="Courier New" w:hAnsi="Courier New"/>
          <w:sz w:val="17"/>
        </w:rPr>
      </w:r>
    </w:p>
    <w:p>
      <w:pPr>
        <w:pStyle w:val="CodeBlock"/>
      </w:pPr>
      <w:r>
        <w:rPr>
          <w:rFonts w:ascii="Courier New" w:hAnsi="Courier New"/>
          <w:sz w:val="17"/>
        </w:rPr>
        <w:t>git add docs/RA_Canonical_Papers/*.tex docs/RA_Canonical_Papers/RAKB_TeX_RAKB_IDs/current</w:t>
      </w:r>
    </w:p>
    <w:p>
      <w:pPr>
        <w:pStyle w:val="CodeBlock"/>
      </w:pPr>
      <w:r>
        <w:rPr>
          <w:rFonts w:ascii="Courier New" w:hAnsi="Courier New"/>
          <w:sz w:val="17"/>
        </w:rPr>
        <w:t>git commit -m "Regenerate canonical paper TeX with RAKB IDs"</w:t>
      </w:r>
    </w:p>
    <w:p>
      <w:pPr>
        <w:pStyle w:val="Heading1"/>
      </w:pPr>
      <w:r>
        <w:t>8. New session prompt</w:t>
      </w:r>
    </w:p>
    <w:p>
      <w:r>
        <w:t>Paste this prompt at the start of a new AI session after uploading the context bundle:</w:t>
      </w:r>
    </w:p>
    <w:p>
      <w:pPr>
        <w:pStyle w:val="CodeBlock"/>
      </w:pPr>
      <w:r>
        <w:rPr>
          <w:rFonts w:ascii="Courier New" w:hAnsi="Courier New"/>
          <w:sz w:val="15"/>
        </w:rPr>
        <w:t>You are helping me continue the Relational Actualism (RA) project.</w:t>
      </w:r>
    </w:p>
    <w:p>
      <w:pPr>
        <w:pStyle w:val="CodeBlock"/>
      </w:pPr>
      <w:r>
        <w:rPr>
          <w:rFonts w:ascii="Courier New" w:hAnsi="Courier New"/>
          <w:sz w:val="15"/>
        </w:rPr>
      </w:r>
    </w:p>
    <w:p>
      <w:pPr>
        <w:pStyle w:val="CodeBlock"/>
      </w:pPr>
      <w:r>
        <w:rPr>
          <w:rFonts w:ascii="Courier New" w:hAnsi="Courier New"/>
          <w:sz w:val="15"/>
        </w:rPr>
        <w:t>Core operating rule:</w:t>
      </w:r>
    </w:p>
    <w:p>
      <w:pPr>
        <w:pStyle w:val="CodeBlock"/>
      </w:pPr>
      <w:r>
        <w:rPr>
          <w:rFonts w:ascii="Courier New" w:hAnsi="Courier New"/>
          <w:sz w:val="15"/>
        </w:rPr>
        <w:t>Use the uploaded RAKB files as the source of truth. Do not rely on memory of previous chats when the registry, source reports, or paper crosswalk disagree. Preserve the distinction between RA-native derivation, computation support, phenomenological bridge, conjecture, and historical/restoration material.</w:t>
      </w:r>
    </w:p>
    <w:p>
      <w:pPr>
        <w:pStyle w:val="CodeBlock"/>
      </w:pPr>
      <w:r>
        <w:rPr>
          <w:rFonts w:ascii="Courier New" w:hAnsi="Courier New"/>
          <w:sz w:val="15"/>
        </w:rPr>
      </w:r>
    </w:p>
    <w:p>
      <w:pPr>
        <w:pStyle w:val="CodeBlock"/>
      </w:pPr>
      <w:r>
        <w:rPr>
          <w:rFonts w:ascii="Courier New" w:hAnsi="Courier New"/>
          <w:sz w:val="15"/>
        </w:rPr>
        <w:t>Project state to assume after reading files:</w:t>
      </w:r>
    </w:p>
    <w:p>
      <w:pPr>
        <w:pStyle w:val="CodeBlock"/>
      </w:pPr>
      <w:r>
        <w:rPr>
          <w:rFonts w:ascii="Courier New" w:hAnsi="Courier New"/>
          <w:sz w:val="15"/>
        </w:rPr>
        <w:t>- RAKB v0.5/v0.5.1 is the typed, source-backed knowledge base.</w:t>
      </w:r>
    </w:p>
    <w:p>
      <w:pPr>
        <w:pStyle w:val="CodeBlock"/>
      </w:pPr>
      <w:r>
        <w:rPr>
          <w:rFonts w:ascii="Courier New" w:hAnsi="Courier New"/>
          <w:sz w:val="15"/>
        </w:rPr>
        <w:t>- The active registry lives under docs/RA_KB/registry.</w:t>
      </w:r>
    </w:p>
    <w:p>
      <w:pPr>
        <w:pStyle w:val="CodeBlock"/>
      </w:pPr>
      <w:r>
        <w:rPr>
          <w:rFonts w:ascii="Courier New" w:hAnsi="Courier New"/>
          <w:sz w:val="15"/>
        </w:rPr>
        <w:t>- The canonical paper sources live under docs/RA_Canonical_Papers.</w:t>
      </w:r>
    </w:p>
    <w:p>
      <w:pPr>
        <w:pStyle w:val="CodeBlock"/>
      </w:pPr>
      <w:r>
        <w:rPr>
          <w:rFonts w:ascii="Courier New" w:hAnsi="Courier New"/>
          <w:sz w:val="15"/>
        </w:rPr>
        <w:t>- RAKB-tagged TeX files contain non-rendering comments of the form "% RAKB: RA-...".</w:t>
      </w:r>
    </w:p>
    <w:p>
      <w:pPr>
        <w:pStyle w:val="CodeBlock"/>
      </w:pPr>
      <w:r>
        <w:rPr>
          <w:rFonts w:ascii="Courier New" w:hAnsi="Courier New"/>
          <w:sz w:val="15"/>
        </w:rPr>
        <w:t>- Lean Stage A is build-confirmed with no sorry/admit in the active closure, with one documented interface axiom unless superseded by newer reports.</w:t>
      </w:r>
    </w:p>
    <w:p>
      <w:pPr>
        <w:pStyle w:val="CodeBlock"/>
      </w:pPr>
      <w:r>
        <w:rPr>
          <w:rFonts w:ascii="Courier New" w:hAnsi="Courier New"/>
          <w:sz w:val="15"/>
        </w:rPr>
        <w:t>- Python Stage B is source-audited and registry-integrated, but not every computation has been reproduced end-to-end.</w:t>
      </w:r>
    </w:p>
    <w:p>
      <w:pPr>
        <w:pStyle w:val="CodeBlock"/>
      </w:pPr>
      <w:r>
        <w:rPr>
          <w:rFonts w:ascii="Courier New" w:hAnsi="Courier New"/>
          <w:sz w:val="15"/>
        </w:rPr>
        <w:t>- Stage C maps canonical TeX sections to RAKB nodes and identifies over-pruned/restoration candidates.</w:t>
      </w:r>
    </w:p>
    <w:p>
      <w:pPr>
        <w:pStyle w:val="CodeBlock"/>
      </w:pPr>
      <w:r>
        <w:rPr>
          <w:rFonts w:ascii="Courier New" w:hAnsi="Courier New"/>
          <w:sz w:val="15"/>
        </w:rPr>
        <w:t>- Stage D is the synthesis layer: node coverage, gap register, restoration queue, evidence health, and attention index.</w:t>
      </w:r>
    </w:p>
    <w:p>
      <w:pPr>
        <w:pStyle w:val="CodeBlock"/>
      </w:pPr>
      <w:r>
        <w:rPr>
          <w:rFonts w:ascii="Courier New" w:hAnsi="Courier New"/>
          <w:sz w:val="15"/>
        </w:rPr>
      </w:r>
    </w:p>
    <w:p>
      <w:pPr>
        <w:pStyle w:val="CodeBlock"/>
      </w:pPr>
      <w:r>
        <w:rPr>
          <w:rFonts w:ascii="Courier New" w:hAnsi="Courier New"/>
          <w:sz w:val="15"/>
        </w:rPr>
        <w:t>First actions in a new session:</w:t>
      </w:r>
    </w:p>
    <w:p>
      <w:pPr>
        <w:pStyle w:val="CodeBlock"/>
      </w:pPr>
      <w:r>
        <w:rPr>
          <w:rFonts w:ascii="Courier New" w:hAnsi="Courier New"/>
          <w:sz w:val="15"/>
        </w:rPr>
        <w:t>1. Read README_RAKB_v0_5.md and the latest release notes or Stage D synthesis report.</w:t>
      </w:r>
    </w:p>
    <w:p>
      <w:pPr>
        <w:pStyle w:val="CodeBlock"/>
      </w:pPr>
      <w:r>
        <w:rPr>
          <w:rFonts w:ascii="Courier New" w:hAnsi="Courier New"/>
          <w:sz w:val="15"/>
        </w:rPr>
        <w:t>2. Inspect registry/claims.yaml, issues.yaml, targets.yaml, framing.yaml, artifacts.csv, claim_artifact_edges.csv, source_text_references.csv, and restoration_candidates.csv.</w:t>
      </w:r>
    </w:p>
    <w:p>
      <w:pPr>
        <w:pStyle w:val="CodeBlock"/>
      </w:pPr>
      <w:r>
        <w:rPr>
          <w:rFonts w:ascii="Courier New" w:hAnsi="Courier New"/>
          <w:sz w:val="15"/>
        </w:rPr>
        <w:t>3. Inspect reports: node coverage matrix, gap register, evidence health summary, attention index, Python audit reports, build logs, and paper crosswalk.</w:t>
      </w:r>
    </w:p>
    <w:p>
      <w:pPr>
        <w:pStyle w:val="CodeBlock"/>
      </w:pPr>
      <w:r>
        <w:rPr>
          <w:rFonts w:ascii="Courier New" w:hAnsi="Courier New"/>
          <w:sz w:val="15"/>
        </w:rPr>
        <w:t>4. If editing papers, use source_text_references.csv to regenerate RAKB IDs rather than hand-editing "% RAKB:" comments.</w:t>
      </w:r>
    </w:p>
    <w:p>
      <w:pPr>
        <w:pStyle w:val="CodeBlock"/>
      </w:pPr>
      <w:r>
        <w:rPr>
          <w:rFonts w:ascii="Courier New" w:hAnsi="Courier New"/>
          <w:sz w:val="15"/>
        </w:rPr>
        <w:t>5. If a result is not fully source-backed, place it in restoration_candidates.csv or targets/issues rather than promoting it directly into claims.yaml.</w:t>
      </w:r>
    </w:p>
    <w:p>
      <w:pPr>
        <w:pStyle w:val="CodeBlock"/>
      </w:pPr>
      <w:r>
        <w:rPr>
          <w:rFonts w:ascii="Courier New" w:hAnsi="Courier New"/>
          <w:sz w:val="15"/>
        </w:rPr>
      </w:r>
    </w:p>
    <w:p>
      <w:pPr>
        <w:pStyle w:val="CodeBlock"/>
      </w:pPr>
      <w:r>
        <w:rPr>
          <w:rFonts w:ascii="Courier New" w:hAnsi="Courier New"/>
          <w:sz w:val="15"/>
        </w:rPr>
        <w:t>Epistemic discipline:</w:t>
      </w:r>
    </w:p>
    <w:p>
      <w:pPr>
        <w:pStyle w:val="CodeBlock"/>
      </w:pPr>
      <w:r>
        <w:rPr>
          <w:rFonts w:ascii="Courier New" w:hAnsi="Courier New"/>
          <w:sz w:val="15"/>
        </w:rPr>
        <w:t>- LV/lean_build_confirmed: machine-checked or build-covered Lean support.</w:t>
      </w:r>
    </w:p>
    <w:p>
      <w:pPr>
        <w:pStyle w:val="CodeBlock"/>
      </w:pPr>
      <w:r>
        <w:rPr>
          <w:rFonts w:ascii="Courier New" w:hAnsi="Courier New"/>
          <w:sz w:val="15"/>
        </w:rPr>
        <w:t>- DR: derived in RA-native terms, but not machine-checked.</w:t>
      </w:r>
    </w:p>
    <w:p>
      <w:pPr>
        <w:pStyle w:val="CodeBlock"/>
      </w:pPr>
      <w:r>
        <w:rPr>
          <w:rFonts w:ascii="Courier New" w:hAnsi="Courier New"/>
          <w:sz w:val="15"/>
        </w:rPr>
        <w:t>- CV/computes: computation-verified or numerically reproduced.</w:t>
      </w:r>
    </w:p>
    <w:p>
      <w:pPr>
        <w:pStyle w:val="CodeBlock"/>
      </w:pPr>
      <w:r>
        <w:rPr>
          <w:rFonts w:ascii="Courier New" w:hAnsi="Courier New"/>
          <w:sz w:val="15"/>
        </w:rPr>
        <w:t>- PI: phenomenological interpolation or bridge.</w:t>
      </w:r>
    </w:p>
    <w:p>
      <w:pPr>
        <w:pStyle w:val="CodeBlock"/>
      </w:pPr>
      <w:r>
        <w:rPr>
          <w:rFonts w:ascii="Courier New" w:hAnsi="Courier New"/>
          <w:sz w:val="15"/>
        </w:rPr>
        <w:t>- CN: conjecture with stated path to closure.</w:t>
      </w:r>
    </w:p>
    <w:p>
      <w:pPr>
        <w:pStyle w:val="CodeBlock"/>
      </w:pPr>
      <w:r>
        <w:rPr>
          <w:rFonts w:ascii="Courier New" w:hAnsi="Courier New"/>
          <w:sz w:val="15"/>
        </w:rPr>
        <w:t>- bridge/cartography: useful translation, not mechanism.</w:t>
      </w:r>
    </w:p>
    <w:p>
      <w:pPr>
        <w:pStyle w:val="CodeBlock"/>
      </w:pPr>
      <w:r>
        <w:rPr>
          <w:rFonts w:ascii="Courier New" w:hAnsi="Courier New"/>
          <w:sz w:val="15"/>
        </w:rPr>
        <w:t>- restoration_candidate: potentially important but not yet promoted.</w:t>
      </w:r>
    </w:p>
    <w:p>
      <w:pPr>
        <w:pStyle w:val="CodeBlock"/>
      </w:pPr>
      <w:r>
        <w:rPr>
          <w:rFonts w:ascii="Courier New" w:hAnsi="Courier New"/>
          <w:sz w:val="15"/>
        </w:rPr>
        <w:t>- archived/historical: provenance only unless explicitly reactivated.</w:t>
      </w:r>
    </w:p>
    <w:p>
      <w:pPr>
        <w:pStyle w:val="CodeBlock"/>
      </w:pPr>
      <w:r>
        <w:rPr>
          <w:rFonts w:ascii="Courier New" w:hAnsi="Courier New"/>
          <w:sz w:val="15"/>
        </w:rPr>
      </w:r>
    </w:p>
    <w:p>
      <w:pPr>
        <w:pStyle w:val="CodeBlock"/>
      </w:pPr>
      <w:r>
        <w:rPr>
          <w:rFonts w:ascii="Courier New" w:hAnsi="Courier New"/>
          <w:sz w:val="15"/>
        </w:rPr>
        <w:t>RA framing discipline:</w:t>
      </w:r>
    </w:p>
    <w:p>
      <w:pPr>
        <w:pStyle w:val="CodeBlock"/>
      </w:pPr>
      <w:r>
        <w:rPr>
          <w:rFonts w:ascii="Courier New" w:hAnsi="Courier New"/>
          <w:sz w:val="15"/>
        </w:rPr>
        <w:t>The target is Nature, not one-to-one recovery of SM/QFT/GR categories. Continuum or legacy vocabulary is allowed as translation only. Mechanisms should trace to DAG + BDG + LLC + actualization plus Nature-measurements.</w:t>
      </w:r>
    </w:p>
    <w:p>
      <w:pPr>
        <w:pStyle w:val="CodeBlock"/>
      </w:pPr>
      <w:r>
        <w:rPr>
          <w:rFonts w:ascii="Courier New" w:hAnsi="Courier New"/>
          <w:sz w:val="15"/>
        </w:rPr>
      </w:r>
    </w:p>
    <w:p>
      <w:pPr>
        <w:pStyle w:val="CodeBlock"/>
      </w:pPr>
      <w:r>
        <w:rPr>
          <w:rFonts w:ascii="Courier New" w:hAnsi="Courier New"/>
          <w:sz w:val="15"/>
        </w:rPr>
        <w:t>When asked to update RA:</w:t>
      </w:r>
    </w:p>
    <w:p>
      <w:pPr>
        <w:pStyle w:val="CodeBlock"/>
      </w:pPr>
      <w:r>
        <w:rPr>
          <w:rFonts w:ascii="Courier New" w:hAnsi="Courier New"/>
          <w:sz w:val="15"/>
        </w:rPr>
        <w:t>- State what files you inspected.</w:t>
      </w:r>
    </w:p>
    <w:p>
      <w:pPr>
        <w:pStyle w:val="CodeBlock"/>
      </w:pPr>
      <w:r>
        <w:rPr>
          <w:rFonts w:ascii="Courier New" w:hAnsi="Courier New"/>
          <w:sz w:val="15"/>
        </w:rPr>
        <w:t>- State whether the change touches claims, targets, issues, source_text_references, artifacts, claim_artifact_edges, or restoration_candidates.</w:t>
      </w:r>
    </w:p>
    <w:p>
      <w:pPr>
        <w:pStyle w:val="CodeBlock"/>
      </w:pPr>
      <w:r>
        <w:rPr>
          <w:rFonts w:ascii="Courier New" w:hAnsi="Courier New"/>
          <w:sz w:val="15"/>
        </w:rPr>
        <w:t>- Give registry upserts as CSV rows, not vague prose.</w:t>
      </w:r>
    </w:p>
    <w:p>
      <w:pPr>
        <w:pStyle w:val="CodeBlock"/>
      </w:pPr>
      <w:r>
        <w:rPr>
          <w:rFonts w:ascii="Courier New" w:hAnsi="Courier New"/>
          <w:sz w:val="15"/>
        </w:rPr>
        <w:t>- Validate structural consistency after registry changes.</w:t>
      </w:r>
    </w:p>
    <w:p>
      <w:pPr>
        <w:pStyle w:val="CodeBlock"/>
      </w:pPr>
      <w:r>
        <w:rPr>
          <w:rFonts w:ascii="Courier New" w:hAnsi="Courier New"/>
          <w:sz w:val="15"/>
        </w:rPr>
        <w:t>- Keep the paper TeX synchronized by regenerating RAKB IDs.</w:t>
      </w:r>
    </w:p>
    <w:p>
      <w:pPr>
        <w:pStyle w:val="Heading1"/>
      </w:pPr>
      <w:r>
        <w:t>9. Files to upload for a new AI session</w:t>
      </w:r>
    </w:p>
    <w:p>
      <w:r>
        <w:t>Minimum context bundle:</w:t>
      </w:r>
    </w:p>
    <w:p>
      <w:pPr>
        <w:pStyle w:val="CodeBlock"/>
      </w:pPr>
      <w:r>
        <w:rPr>
          <w:rFonts w:ascii="Courier New" w:hAnsi="Courier New"/>
          <w:sz w:val="15"/>
        </w:rPr>
        <w:t>zip -r RA_new_session_context_YYYYMMDD.zip \</w:t>
      </w:r>
    </w:p>
    <w:p>
      <w:pPr>
        <w:pStyle w:val="CodeBlock"/>
      </w:pPr>
      <w:r>
        <w:rPr>
          <w:rFonts w:ascii="Courier New" w:hAnsi="Courier New"/>
          <w:sz w:val="15"/>
        </w:rPr>
        <w:t xml:space="preserve">  docs/RA_KB/README_RAKB_v0_5.md \</w:t>
      </w:r>
    </w:p>
    <w:p>
      <w:pPr>
        <w:pStyle w:val="CodeBlock"/>
      </w:pPr>
      <w:r>
        <w:rPr>
          <w:rFonts w:ascii="Courier New" w:hAnsi="Courier New"/>
          <w:sz w:val="15"/>
        </w:rPr>
        <w:t xml:space="preserve">  docs/RA_KB/registry \</w:t>
      </w:r>
    </w:p>
    <w:p>
      <w:pPr>
        <w:pStyle w:val="CodeBlock"/>
      </w:pPr>
      <w:r>
        <w:rPr>
          <w:rFonts w:ascii="Courier New" w:hAnsi="Courier New"/>
          <w:sz w:val="15"/>
        </w:rPr>
        <w:t xml:space="preserve">  docs/RA_KB/reports/RAKB_v0_5_1_release_notes_Apr28_2026.md \</w:t>
      </w:r>
    </w:p>
    <w:p>
      <w:pPr>
        <w:pStyle w:val="CodeBlock"/>
      </w:pPr>
      <w:r>
        <w:rPr>
          <w:rFonts w:ascii="Courier New" w:hAnsi="Courier New"/>
          <w:sz w:val="15"/>
        </w:rPr>
        <w:t xml:space="preserve">  docs/RA_KB/reports/RAKB_stageD_node_coverage_matrix_Apr28_2026.csv \</w:t>
      </w:r>
    </w:p>
    <w:p>
      <w:pPr>
        <w:pStyle w:val="CodeBlock"/>
      </w:pPr>
      <w:r>
        <w:rPr>
          <w:rFonts w:ascii="Courier New" w:hAnsi="Courier New"/>
          <w:sz w:val="15"/>
        </w:rPr>
        <w:t xml:space="preserve">  docs/RA_KB/reports/RAKB_stageD_gap_register_Apr28_2026.csv \</w:t>
      </w:r>
    </w:p>
    <w:p>
      <w:pPr>
        <w:pStyle w:val="CodeBlock"/>
      </w:pPr>
      <w:r>
        <w:rPr>
          <w:rFonts w:ascii="Courier New" w:hAnsi="Courier New"/>
          <w:sz w:val="15"/>
        </w:rPr>
        <w:t xml:space="preserve">  docs/RA_KB/reports/RAKB_stageD_promotion_and_restoration_queue_Apr28_2026.csv \</w:t>
      </w:r>
    </w:p>
    <w:p>
      <w:pPr>
        <w:pStyle w:val="CodeBlock"/>
      </w:pPr>
      <w:r>
        <w:rPr>
          <w:rFonts w:ascii="Courier New" w:hAnsi="Courier New"/>
          <w:sz w:val="15"/>
        </w:rPr>
        <w:t xml:space="preserve">  docs/RA_KB/reports/RAKB_stageD_evidence_health_summary_Apr28_2026.csv \</w:t>
      </w:r>
    </w:p>
    <w:p>
      <w:pPr>
        <w:pStyle w:val="CodeBlock"/>
      </w:pPr>
      <w:r>
        <w:rPr>
          <w:rFonts w:ascii="Courier New" w:hAnsi="Courier New"/>
          <w:sz w:val="15"/>
        </w:rPr>
        <w:t xml:space="preserve">  docs/RA_KB/reports/RAKB_stageD_attention_index_Apr28_2026.csv \</w:t>
      </w:r>
    </w:p>
    <w:p>
      <w:pPr>
        <w:pStyle w:val="CodeBlock"/>
      </w:pPr>
      <w:r>
        <w:rPr>
          <w:rFonts w:ascii="Courier New" w:hAnsi="Courier New"/>
          <w:sz w:val="15"/>
        </w:rPr>
        <w:t xml:space="preserve">  docs/RA_KB/reports/RAKB_stageC_paper_claim_crosswalk_Apr28_2026.csv \</w:t>
      </w:r>
    </w:p>
    <w:p>
      <w:pPr>
        <w:pStyle w:val="CodeBlock"/>
      </w:pPr>
      <w:r>
        <w:rPr>
          <w:rFonts w:ascii="Courier New" w:hAnsi="Courier New"/>
          <w:sz w:val="15"/>
        </w:rPr>
        <w:t xml:space="preserve">  docs/RA_KB/reports/RAKB_python_source_classification_Apr28_2026.csv \</w:t>
      </w:r>
    </w:p>
    <w:p>
      <w:pPr>
        <w:pStyle w:val="CodeBlock"/>
      </w:pPr>
      <w:r>
        <w:rPr>
          <w:rFonts w:ascii="Courier New" w:hAnsi="Courier New"/>
          <w:sz w:val="15"/>
        </w:rPr>
        <w:t xml:space="preserve">  docs/RA_KB/reports/RAKB_python_reproduction_smoke_tests_Apr28_2026.csv \</w:t>
      </w:r>
    </w:p>
    <w:p>
      <w:pPr>
        <w:pStyle w:val="CodeBlock"/>
      </w:pPr>
      <w:r>
        <w:rPr>
          <w:rFonts w:ascii="Courier New" w:hAnsi="Courier New"/>
          <w:sz w:val="15"/>
        </w:rPr>
        <w:t xml:space="preserve">  docs/RA_KB/reports/RAKB_python_hardening_queue_Apr28_2026.csv \</w:t>
      </w:r>
    </w:p>
    <w:p>
      <w:pPr>
        <w:pStyle w:val="CodeBlock"/>
      </w:pPr>
      <w:r>
        <w:rPr>
          <w:rFonts w:ascii="Courier New" w:hAnsi="Courier New"/>
          <w:sz w:val="15"/>
        </w:rPr>
        <w:t xml:space="preserve">  docs/RA_KB/reports/lake_build_Apr27_D2root_2026.log \</w:t>
      </w:r>
    </w:p>
    <w:p>
      <w:pPr>
        <w:pStyle w:val="CodeBlock"/>
      </w:pPr>
      <w:r>
        <w:rPr>
          <w:rFonts w:ascii="Courier New" w:hAnsi="Courier New"/>
          <w:sz w:val="15"/>
        </w:rPr>
        <w:t xml:space="preserve">  docs/RA_KB/reports/lake_env_Apr27_2026.txt \</w:t>
      </w:r>
    </w:p>
    <w:p>
      <w:pPr>
        <w:pStyle w:val="CodeBlock"/>
      </w:pPr>
      <w:r>
        <w:rPr>
          <w:rFonts w:ascii="Courier New" w:hAnsi="Courier New"/>
          <w:sz w:val="15"/>
        </w:rPr>
        <w:t xml:space="preserve">  docs/RA_Canonical_Papers/*.tex \</w:t>
      </w:r>
    </w:p>
    <w:p>
      <w:pPr>
        <w:pStyle w:val="CodeBlock"/>
      </w:pPr>
      <w:r>
        <w:rPr>
          <w:rFonts w:ascii="Courier New" w:hAnsi="Courier New"/>
          <w:sz w:val="15"/>
        </w:rPr>
        <w:t xml:space="preserve">  docs/RA_Canonical_Papers/common</w:t>
      </w:r>
    </w:p>
    <w:p>
      <w:r>
        <w:t>Add Lean source when doing formal work:</w:t>
      </w:r>
    </w:p>
    <w:p>
      <w:pPr>
        <w:pStyle w:val="CodeBlock"/>
      </w:pPr>
      <w:r>
        <w:rPr>
          <w:rFonts w:ascii="Courier New" w:hAnsi="Courier New"/>
          <w:sz w:val="15"/>
        </w:rPr>
        <w:t>zip -r RA_lean_source_context_YYYYMMDD.zip \</w:t>
      </w:r>
    </w:p>
    <w:p>
      <w:pPr>
        <w:pStyle w:val="CodeBlock"/>
      </w:pPr>
      <w:r>
        <w:rPr>
          <w:rFonts w:ascii="Courier New" w:hAnsi="Courier New"/>
          <w:sz w:val="15"/>
        </w:rPr>
        <w:t xml:space="preserve">  src/RA_AQFT/*.lean \</w:t>
      </w:r>
    </w:p>
    <w:p>
      <w:pPr>
        <w:pStyle w:val="CodeBlock"/>
      </w:pPr>
      <w:r>
        <w:rPr>
          <w:rFonts w:ascii="Courier New" w:hAnsi="Courier New"/>
          <w:sz w:val="15"/>
        </w:rPr>
        <w:t xml:space="preserve">  src/RA_AQFT/lakefile.lean \</w:t>
      </w:r>
    </w:p>
    <w:p>
      <w:pPr>
        <w:pStyle w:val="CodeBlock"/>
      </w:pPr>
      <w:r>
        <w:rPr>
          <w:rFonts w:ascii="Courier New" w:hAnsi="Courier New"/>
          <w:sz w:val="15"/>
        </w:rPr>
        <w:t xml:space="preserve">  src/RA_AQFT/lakefile_v1.lean \</w:t>
      </w:r>
    </w:p>
    <w:p>
      <w:pPr>
        <w:pStyle w:val="CodeBlock"/>
      </w:pPr>
      <w:r>
        <w:rPr>
          <w:rFonts w:ascii="Courier New" w:hAnsi="Courier New"/>
          <w:sz w:val="15"/>
        </w:rPr>
        <w:t xml:space="preserve">  src/RA_AQFT/lake-manifest.json \</w:t>
      </w:r>
    </w:p>
    <w:p>
      <w:pPr>
        <w:pStyle w:val="CodeBlock"/>
      </w:pPr>
      <w:r>
        <w:rPr>
          <w:rFonts w:ascii="Courier New" w:hAnsi="Courier New"/>
          <w:sz w:val="15"/>
        </w:rPr>
        <w:t xml:space="preserve">  src/RA_AQFT/lean-toolchain \</w:t>
      </w:r>
    </w:p>
    <w:p>
      <w:pPr>
        <w:pStyle w:val="CodeBlock"/>
      </w:pPr>
      <w:r>
        <w:rPr>
          <w:rFonts w:ascii="Courier New" w:hAnsi="Courier New"/>
          <w:sz w:val="15"/>
        </w:rPr>
        <w:t xml:space="preserve">  docs/RA_KB/reports/lake_build*.log \</w:t>
      </w:r>
    </w:p>
    <w:p>
      <w:pPr>
        <w:pStyle w:val="CodeBlock"/>
      </w:pPr>
      <w:r>
        <w:rPr>
          <w:rFonts w:ascii="Courier New" w:hAnsi="Courier New"/>
          <w:sz w:val="15"/>
        </w:rPr>
        <w:t xml:space="preserve">  docs/RA_KB/reports/lake_env*.txt</w:t>
      </w:r>
    </w:p>
    <w:p>
      <w:r>
        <w:t>Add Python source when doing computation work:</w:t>
      </w:r>
    </w:p>
    <w:p>
      <w:pPr>
        <w:pStyle w:val="CodeBlock"/>
      </w:pPr>
      <w:r>
        <w:rPr>
          <w:rFonts w:ascii="Courier New" w:hAnsi="Courier New"/>
          <w:sz w:val="15"/>
        </w:rPr>
        <w:t>zip -r RA_python_source_context_YYYYMMDD.zip \</w:t>
      </w:r>
    </w:p>
    <w:p>
      <w:pPr>
        <w:pStyle w:val="CodeBlock"/>
      </w:pPr>
      <w:r>
        <w:rPr>
          <w:rFonts w:ascii="Courier New" w:hAnsi="Courier New"/>
          <w:sz w:val="15"/>
        </w:rPr>
        <w:t xml:space="preserve">  src/RA_AQFT/*.py \</w:t>
      </w:r>
    </w:p>
    <w:p>
      <w:pPr>
        <w:pStyle w:val="CodeBlock"/>
      </w:pPr>
      <w:r>
        <w:rPr>
          <w:rFonts w:ascii="Courier New" w:hAnsi="Courier New"/>
          <w:sz w:val="15"/>
        </w:rPr>
        <w:t xml:space="preserve">  src/RA_AQFT/*.csv \</w:t>
      </w:r>
    </w:p>
    <w:p>
      <w:pPr>
        <w:pStyle w:val="CodeBlock"/>
      </w:pPr>
      <w:r>
        <w:rPr>
          <w:rFonts w:ascii="Courier New" w:hAnsi="Courier New"/>
          <w:sz w:val="15"/>
        </w:rPr>
        <w:t xml:space="preserve">  src/RA_Complexity/*.py \</w:t>
      </w:r>
    </w:p>
    <w:p>
      <w:pPr>
        <w:pStyle w:val="CodeBlock"/>
      </w:pPr>
      <w:r>
        <w:rPr>
          <w:rFonts w:ascii="Courier New" w:hAnsi="Courier New"/>
          <w:sz w:val="15"/>
        </w:rPr>
        <w:t xml:space="preserve">  src/ra_audit.py \</w:t>
      </w:r>
    </w:p>
    <w:p>
      <w:pPr>
        <w:pStyle w:val="CodeBlock"/>
      </w:pPr>
      <w:r>
        <w:rPr>
          <w:rFonts w:ascii="Courier New" w:hAnsi="Courier New"/>
          <w:sz w:val="15"/>
        </w:rPr>
        <w:t xml:space="preserve">  data/DFT_Survey/*.py \</w:t>
      </w:r>
    </w:p>
    <w:p>
      <w:pPr>
        <w:pStyle w:val="CodeBlock"/>
      </w:pPr>
      <w:r>
        <w:rPr>
          <w:rFonts w:ascii="Courier New" w:hAnsi="Courier New"/>
          <w:sz w:val="15"/>
        </w:rPr>
        <w:t xml:space="preserve">  docs/RA_KB/reports/python_audit*</w:t>
      </w:r>
    </w:p>
    <w:p>
      <w:pPr>
        <w:pStyle w:val="Heading1"/>
      </w:pPr>
      <w:r>
        <w:t>10. RA charge-assignment rule</w:t>
      </w:r>
    </w:p>
    <w:p>
      <w:r>
        <w:t>The current source record supports the following concise rule:</w:t>
      </w:r>
    </w:p>
    <w:p>
      <w:r>
        <w:t>Charge is not assigned by a particle label. It is computed from the signed local ledger/winding profile of a candidate graph extension. During graph growth, a candidate actualization must satisfy the BDG acceptance filter and the Local Ledger Condition. The LLC requires local balance of conserved ledger quantities at the vertex; admissible extensions therefore carry only ledger increments that can be locally balanced by the incident graph structure.</w:t>
      </w:r>
    </w:p>
    <w:p>
      <w:r>
        <w:t>For electric-charge translation in the 3+1D sector, the rule in Paper II is: a vertex can receive signed edges from at most three independent spatial directions, so the net signed N1 charge is restricted to integers {-3,-2,-1,0,+1,+2,+3}. Identifying one spatial unit with e/3 gives:</w:t>
      </w:r>
    </w:p>
    <w:p>
      <w:pPr>
        <w:pStyle w:val="CodeBlock"/>
      </w:pPr>
      <w:r>
        <w:rPr>
          <w:rFonts w:ascii="Courier New" w:hAnsi="Courier New"/>
          <w:sz w:val="17"/>
        </w:rPr>
        <w:t>Q_N1 in {-3,-2,-1,0,+1,+2,+3}</w:t>
      </w:r>
    </w:p>
    <w:p>
      <w:pPr>
        <w:pStyle w:val="CodeBlock"/>
      </w:pPr>
      <w:r>
        <w:rPr>
          <w:rFonts w:ascii="Courier New" w:hAnsi="Courier New"/>
          <w:sz w:val="17"/>
        </w:rPr>
        <w:t>Q_e  = (e/3) Q_N1</w:t>
      </w:r>
    </w:p>
    <w:p>
      <w:pPr>
        <w:pStyle w:val="CodeBlock"/>
      </w:pPr>
      <w:r>
        <w:rPr>
          <w:rFonts w:ascii="Courier New" w:hAnsi="Courier New"/>
          <w:sz w:val="17"/>
        </w:rPr>
        <w:t>Q_e  in {-e, -2e/3, -e/3, 0, +e/3, +2e/3, +e}</w:t>
      </w:r>
    </w:p>
    <w:p>
      <w:r>
        <w:t>Important caveat: the documents also describe charge quantization as arising from N2 spatial winding/branching in the BDG closure pattern. The native mechanism is signed graph winding/ledger balance; the e/3 electric-charge language is the observational translation. The RAKB should normalize the N1/N2 notation here so this does not remain ambiguous.</w:t>
      </w:r>
    </w:p>
    <w:p>
      <w:r>
        <w:t>Related rules in the matter sector: N2 spatial branching charge is used for color/strong-sector flux, with LLC constraints such as Qr + Qg + Qb = 0. Baryon number is treated as net N2 spatial winding, and LLC forbids changing that winding without corresponding compensating creation/annihilation.</w:t>
      </w:r>
    </w:p>
    <w:p>
      <w:pPr>
        <w:pStyle w:val="Heading1"/>
      </w:pPr>
      <w:r>
        <w:t>11. Source notes for this guide</w:t>
      </w:r>
    </w:p>
    <w:p>
      <w:pPr>
        <w:pStyle w:val="ListBullet"/>
      </w:pPr>
      <w:r>
        <w:t>Project layout and canonical paper location are based on the RA tree view and current RAKB workflow.</w:t>
      </w:r>
    </w:p>
    <w:p>
      <w:pPr>
        <w:pStyle w:val="ListBullet"/>
      </w:pPr>
      <w:r>
        <w:t>Lean environment pinning should be taken from lake_env_*.txt and lake_build_*.log.</w:t>
      </w:r>
    </w:p>
    <w:p>
      <w:pPr>
        <w:pStyle w:val="ListBullet"/>
      </w:pPr>
      <w:r>
        <w:t>Charge-rule summary is based on Paper II charge quantization, the editorial catalog's wording correction, the Local Ledger Condition statement, and the causal-orientation Lean surface.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ind w:lef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RAKB Build and New Session Guide</dc:title>
  <dc:subject>Relational Actualism KB paper generation and AI handoff</dc:subject>
  <dc:creator>OpenAI</dc:creator>
  <cp:keywords/>
  <dc:description>Generated for Joshua, April 28 2026</dc:description>
  <cp:lastModifiedBy/>
  <cp:revision>1</cp:revision>
  <dcterms:created xsi:type="dcterms:W3CDTF">2013-12-23T23:15:00Z</dcterms:created>
  <dcterms:modified xsi:type="dcterms:W3CDTF">2013-12-23T23:15:00Z</dcterms:modified>
  <cp:category/>
</cp:coreProperties>
</file>