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F0CE3" w14:textId="77777777" w:rsidR="0040483D" w:rsidRPr="0040483D" w:rsidRDefault="0040483D" w:rsidP="0040483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483D">
        <w:rPr>
          <w:rFonts w:ascii="Times New Roman" w:eastAsia="Times New Roman" w:hAnsi="Times New Roman" w:cs="Times New Roman"/>
          <w:b/>
          <w:bCs/>
          <w:kern w:val="36"/>
          <w:sz w:val="48"/>
          <w:szCs w:val="48"/>
          <w14:ligatures w14:val="none"/>
        </w:rPr>
        <w:t>RA Session Log — April 8, 2026 (Evening Session) — ADDENDUM</w:t>
      </w:r>
    </w:p>
    <w:p w14:paraId="0F6E3E34" w14:textId="77777777" w:rsidR="0040483D" w:rsidRPr="0040483D" w:rsidRDefault="0040483D" w:rsidP="004048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483D">
        <w:rPr>
          <w:rFonts w:ascii="Times New Roman" w:eastAsia="Times New Roman" w:hAnsi="Times New Roman" w:cs="Times New Roman"/>
          <w:b/>
          <w:bCs/>
          <w:kern w:val="0"/>
          <w:sz w:val="36"/>
          <w:szCs w:val="36"/>
          <w14:ligatures w14:val="none"/>
        </w:rPr>
        <w:t>Recovered RA-Native Results &amp; Corrected Peer Review Status</w:t>
      </w:r>
    </w:p>
    <w:p w14:paraId="13550D49" w14:textId="77777777" w:rsidR="0040483D" w:rsidRPr="0040483D" w:rsidRDefault="00FA100B" w:rsidP="0040483D">
      <w:pPr>
        <w:spacing w:after="0" w:line="240" w:lineRule="auto"/>
        <w:rPr>
          <w:rFonts w:ascii="Times New Roman" w:eastAsia="Times New Roman" w:hAnsi="Times New Roman" w:cs="Times New Roman"/>
          <w:kern w:val="0"/>
          <w14:ligatures w14:val="none"/>
        </w:rPr>
      </w:pPr>
      <w:r>
        <w:rPr>
          <w:noProof/>
        </w:rPr>
      </w:r>
      <w:r>
        <w:pict w14:anchorId="09CAB05C">
          <v:rect id="Horizontal Line 1"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EB6C6E" w14:textId="77777777" w:rsidR="0040483D" w:rsidRPr="0040483D" w:rsidRDefault="0040483D" w:rsidP="004048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483D">
        <w:rPr>
          <w:rFonts w:ascii="Times New Roman" w:eastAsia="Times New Roman" w:hAnsi="Times New Roman" w:cs="Times New Roman"/>
          <w:b/>
          <w:bCs/>
          <w:kern w:val="0"/>
          <w:sz w:val="36"/>
          <w:szCs w:val="36"/>
          <w14:ligatures w14:val="none"/>
        </w:rPr>
        <w:t>CRITICAL CORRECTION: Peer Review Status</w:t>
      </w:r>
    </w:p>
    <w:p w14:paraId="22AB99AB"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Previous memory entries erroneously recorded:</w:t>
      </w:r>
    </w:p>
    <w:p w14:paraId="2C330991" w14:textId="77777777" w:rsidR="0040483D" w:rsidRPr="0040483D" w:rsidRDefault="0040483D" w:rsidP="004048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"RAQM at FoP → Accept with Minor Revisions (both referees Accept)"</w:t>
      </w:r>
    </w:p>
    <w:p w14:paraId="3D02CE5A" w14:textId="77777777" w:rsidR="0040483D" w:rsidRPr="0040483D" w:rsidRDefault="0040483D" w:rsidP="004048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"RAGC → Accept with Minor Revisions (two rounds)"</w:t>
      </w:r>
    </w:p>
    <w:p w14:paraId="2FB321E5"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These were from simulated red-team review exercises, NOT actual journal decisions.</w:t>
      </w:r>
    </w:p>
    <w:p w14:paraId="062827CF"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Actual status (as of April 8,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184"/>
        <w:gridCol w:w="6380"/>
      </w:tblGrid>
      <w:tr w:rsidR="0040483D" w:rsidRPr="0040483D" w14:paraId="0055AF20" w14:textId="77777777">
        <w:trPr>
          <w:tblHeader/>
          <w:tblCellSpacing w:w="15" w:type="dxa"/>
        </w:trPr>
        <w:tc>
          <w:tcPr>
            <w:tcW w:w="0" w:type="auto"/>
            <w:vAlign w:val="center"/>
            <w:hideMark/>
          </w:tcPr>
          <w:p w14:paraId="4D8BECF7" w14:textId="77777777" w:rsidR="0040483D" w:rsidRPr="0040483D" w:rsidRDefault="0040483D" w:rsidP="0040483D">
            <w:pPr>
              <w:spacing w:after="0" w:line="240" w:lineRule="auto"/>
              <w:jc w:val="center"/>
              <w:rPr>
                <w:rFonts w:ascii="Times New Roman" w:eastAsia="Times New Roman" w:hAnsi="Times New Roman" w:cs="Times New Roman"/>
                <w:b/>
                <w:bCs/>
                <w:kern w:val="0"/>
                <w14:ligatures w14:val="none"/>
              </w:rPr>
            </w:pPr>
            <w:r w:rsidRPr="0040483D">
              <w:rPr>
                <w:rFonts w:ascii="Times New Roman" w:eastAsia="Times New Roman" w:hAnsi="Times New Roman" w:cs="Times New Roman"/>
                <w:b/>
                <w:bCs/>
                <w:kern w:val="0"/>
                <w14:ligatures w14:val="none"/>
              </w:rPr>
              <w:t>Paper</w:t>
            </w:r>
          </w:p>
        </w:tc>
        <w:tc>
          <w:tcPr>
            <w:tcW w:w="0" w:type="auto"/>
            <w:vAlign w:val="center"/>
            <w:hideMark/>
          </w:tcPr>
          <w:p w14:paraId="0C0EA57D" w14:textId="77777777" w:rsidR="0040483D" w:rsidRPr="0040483D" w:rsidRDefault="0040483D" w:rsidP="0040483D">
            <w:pPr>
              <w:spacing w:after="0" w:line="240" w:lineRule="auto"/>
              <w:jc w:val="center"/>
              <w:rPr>
                <w:rFonts w:ascii="Times New Roman" w:eastAsia="Times New Roman" w:hAnsi="Times New Roman" w:cs="Times New Roman"/>
                <w:b/>
                <w:bCs/>
                <w:kern w:val="0"/>
                <w14:ligatures w14:val="none"/>
              </w:rPr>
            </w:pPr>
            <w:r w:rsidRPr="0040483D">
              <w:rPr>
                <w:rFonts w:ascii="Times New Roman" w:eastAsia="Times New Roman" w:hAnsi="Times New Roman" w:cs="Times New Roman"/>
                <w:b/>
                <w:bCs/>
                <w:kern w:val="0"/>
                <w14:ligatures w14:val="none"/>
              </w:rPr>
              <w:t>Journal</w:t>
            </w:r>
          </w:p>
        </w:tc>
        <w:tc>
          <w:tcPr>
            <w:tcW w:w="0" w:type="auto"/>
            <w:vAlign w:val="center"/>
            <w:hideMark/>
          </w:tcPr>
          <w:p w14:paraId="28EF5326" w14:textId="77777777" w:rsidR="0040483D" w:rsidRPr="0040483D" w:rsidRDefault="0040483D" w:rsidP="0040483D">
            <w:pPr>
              <w:spacing w:after="0" w:line="240" w:lineRule="auto"/>
              <w:jc w:val="center"/>
              <w:rPr>
                <w:rFonts w:ascii="Times New Roman" w:eastAsia="Times New Roman" w:hAnsi="Times New Roman" w:cs="Times New Roman"/>
                <w:b/>
                <w:bCs/>
                <w:kern w:val="0"/>
                <w14:ligatures w14:val="none"/>
              </w:rPr>
            </w:pPr>
            <w:r w:rsidRPr="0040483D">
              <w:rPr>
                <w:rFonts w:ascii="Times New Roman" w:eastAsia="Times New Roman" w:hAnsi="Times New Roman" w:cs="Times New Roman"/>
                <w:b/>
                <w:bCs/>
                <w:kern w:val="0"/>
                <w14:ligatures w14:val="none"/>
              </w:rPr>
              <w:t>Status</w:t>
            </w:r>
          </w:p>
        </w:tc>
      </w:tr>
      <w:tr w:rsidR="0040483D" w:rsidRPr="0040483D" w14:paraId="4AEBE73B" w14:textId="77777777">
        <w:trPr>
          <w:tblCellSpacing w:w="15" w:type="dxa"/>
        </w:trPr>
        <w:tc>
          <w:tcPr>
            <w:tcW w:w="0" w:type="auto"/>
            <w:vAlign w:val="center"/>
            <w:hideMark/>
          </w:tcPr>
          <w:p w14:paraId="722C1BB0"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RAQM</w:t>
            </w:r>
          </w:p>
        </w:tc>
        <w:tc>
          <w:tcPr>
            <w:tcW w:w="0" w:type="auto"/>
            <w:vAlign w:val="center"/>
            <w:hideMark/>
          </w:tcPr>
          <w:p w14:paraId="212F3091"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Foundations of Physics</w:t>
            </w:r>
          </w:p>
        </w:tc>
        <w:tc>
          <w:tcPr>
            <w:tcW w:w="0" w:type="auto"/>
            <w:vAlign w:val="center"/>
            <w:hideMark/>
          </w:tcPr>
          <w:p w14:paraId="2A66F5AE"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Awaiting editor assignment (NOT yet reviewed)</w:t>
            </w:r>
          </w:p>
        </w:tc>
      </w:tr>
      <w:tr w:rsidR="0040483D" w:rsidRPr="0040483D" w14:paraId="5CAC53BB" w14:textId="77777777">
        <w:trPr>
          <w:tblCellSpacing w:w="15" w:type="dxa"/>
        </w:trPr>
        <w:tc>
          <w:tcPr>
            <w:tcW w:w="0" w:type="auto"/>
            <w:vAlign w:val="center"/>
            <w:hideMark/>
          </w:tcPr>
          <w:p w14:paraId="5712A629"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RAGC</w:t>
            </w:r>
          </w:p>
        </w:tc>
        <w:tc>
          <w:tcPr>
            <w:tcW w:w="0" w:type="auto"/>
            <w:vAlign w:val="center"/>
            <w:hideMark/>
          </w:tcPr>
          <w:p w14:paraId="017D6A09"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w:t>
            </w:r>
          </w:p>
        </w:tc>
        <w:tc>
          <w:tcPr>
            <w:tcW w:w="0" w:type="auto"/>
            <w:vAlign w:val="center"/>
            <w:hideMark/>
          </w:tcPr>
          <w:p w14:paraId="43598767"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NOT submitted</w:t>
            </w:r>
          </w:p>
        </w:tc>
      </w:tr>
      <w:tr w:rsidR="0040483D" w:rsidRPr="0040483D" w14:paraId="4261B205" w14:textId="77777777">
        <w:trPr>
          <w:tblCellSpacing w:w="15" w:type="dxa"/>
        </w:trPr>
        <w:tc>
          <w:tcPr>
            <w:tcW w:w="0" w:type="auto"/>
            <w:vAlign w:val="center"/>
            <w:hideMark/>
          </w:tcPr>
          <w:p w14:paraId="5A152604"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RACL</w:t>
            </w:r>
          </w:p>
        </w:tc>
        <w:tc>
          <w:tcPr>
            <w:tcW w:w="0" w:type="auto"/>
            <w:vAlign w:val="center"/>
            <w:hideMark/>
          </w:tcPr>
          <w:p w14:paraId="786055AB"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CQG</w:t>
            </w:r>
          </w:p>
        </w:tc>
        <w:tc>
          <w:tcPr>
            <w:tcW w:w="0" w:type="auto"/>
            <w:vAlign w:val="center"/>
            <w:hideMark/>
          </w:tcPr>
          <w:p w14:paraId="22C388BE"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Under review</w:t>
            </w:r>
          </w:p>
        </w:tc>
      </w:tr>
      <w:tr w:rsidR="0040483D" w:rsidRPr="0040483D" w14:paraId="18498296" w14:textId="77777777">
        <w:trPr>
          <w:tblCellSpacing w:w="15" w:type="dxa"/>
        </w:trPr>
        <w:tc>
          <w:tcPr>
            <w:tcW w:w="0" w:type="auto"/>
            <w:vAlign w:val="center"/>
            <w:hideMark/>
          </w:tcPr>
          <w:p w14:paraId="38F75138"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RATM</w:t>
            </w:r>
          </w:p>
        </w:tc>
        <w:tc>
          <w:tcPr>
            <w:tcW w:w="0" w:type="auto"/>
            <w:vAlign w:val="center"/>
            <w:hideMark/>
          </w:tcPr>
          <w:p w14:paraId="02F39E4D"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PRD</w:t>
            </w:r>
          </w:p>
        </w:tc>
        <w:tc>
          <w:tcPr>
            <w:tcW w:w="0" w:type="auto"/>
            <w:vAlign w:val="center"/>
            <w:hideMark/>
          </w:tcPr>
          <w:p w14:paraId="570C91FD"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Regular Article, ID DQ14566 (passed editorial screen, awaiting referee)</w:t>
            </w:r>
          </w:p>
        </w:tc>
      </w:tr>
      <w:tr w:rsidR="0040483D" w:rsidRPr="0040483D" w14:paraId="16B30385" w14:textId="77777777">
        <w:trPr>
          <w:tblCellSpacing w:w="15" w:type="dxa"/>
        </w:trPr>
        <w:tc>
          <w:tcPr>
            <w:tcW w:w="0" w:type="auto"/>
            <w:vAlign w:val="center"/>
            <w:hideMark/>
          </w:tcPr>
          <w:p w14:paraId="57237FA5"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RACF</w:t>
            </w:r>
          </w:p>
        </w:tc>
        <w:tc>
          <w:tcPr>
            <w:tcW w:w="0" w:type="auto"/>
            <w:vAlign w:val="center"/>
            <w:hideMark/>
          </w:tcPr>
          <w:p w14:paraId="07E4BDE7"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IJA</w:t>
            </w:r>
          </w:p>
        </w:tc>
        <w:tc>
          <w:tcPr>
            <w:tcW w:w="0" w:type="auto"/>
            <w:vAlign w:val="center"/>
            <w:hideMark/>
          </w:tcPr>
          <w:p w14:paraId="6D55FC0A"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Under review</w:t>
            </w:r>
          </w:p>
        </w:tc>
      </w:tr>
      <w:tr w:rsidR="0040483D" w:rsidRPr="0040483D" w14:paraId="4846B073" w14:textId="77777777">
        <w:trPr>
          <w:tblCellSpacing w:w="15" w:type="dxa"/>
        </w:trPr>
        <w:tc>
          <w:tcPr>
            <w:tcW w:w="0" w:type="auto"/>
            <w:vAlign w:val="center"/>
            <w:hideMark/>
          </w:tcPr>
          <w:p w14:paraId="6C9AD0C4"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P1</w:t>
            </w:r>
          </w:p>
        </w:tc>
        <w:tc>
          <w:tcPr>
            <w:tcW w:w="0" w:type="auto"/>
            <w:vAlign w:val="center"/>
            <w:hideMark/>
          </w:tcPr>
          <w:p w14:paraId="0A47EC0A"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PRL</w:t>
            </w:r>
          </w:p>
        </w:tc>
        <w:tc>
          <w:tcPr>
            <w:tcW w:w="0" w:type="auto"/>
            <w:vAlign w:val="center"/>
            <w:hideMark/>
          </w:tcPr>
          <w:p w14:paraId="0436E047"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Rejected; rebuttal written</w:t>
            </w:r>
          </w:p>
        </w:tc>
      </w:tr>
      <w:tr w:rsidR="0040483D" w:rsidRPr="0040483D" w14:paraId="3DC02274" w14:textId="77777777">
        <w:trPr>
          <w:tblCellSpacing w:w="15" w:type="dxa"/>
        </w:trPr>
        <w:tc>
          <w:tcPr>
            <w:tcW w:w="0" w:type="auto"/>
            <w:vAlign w:val="center"/>
            <w:hideMark/>
          </w:tcPr>
          <w:p w14:paraId="5AEC0F81"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RAEB</w:t>
            </w:r>
          </w:p>
        </w:tc>
        <w:tc>
          <w:tcPr>
            <w:tcW w:w="0" w:type="auto"/>
            <w:vAlign w:val="center"/>
            <w:hideMark/>
          </w:tcPr>
          <w:p w14:paraId="2D1BBF00"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w:t>
            </w:r>
          </w:p>
        </w:tc>
        <w:tc>
          <w:tcPr>
            <w:tcW w:w="0" w:type="auto"/>
            <w:vAlign w:val="center"/>
            <w:hideMark/>
          </w:tcPr>
          <w:p w14:paraId="1C7B3580"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Reject with resubmission encouraged</w:t>
            </w:r>
          </w:p>
        </w:tc>
      </w:tr>
    </w:tbl>
    <w:p w14:paraId="0EF68367" w14:textId="77777777" w:rsidR="0040483D" w:rsidRPr="0040483D" w:rsidRDefault="00FA100B" w:rsidP="0040483D">
      <w:pPr>
        <w:spacing w:after="0" w:line="240" w:lineRule="auto"/>
        <w:rPr>
          <w:rFonts w:ascii="Times New Roman" w:eastAsia="Times New Roman" w:hAnsi="Times New Roman" w:cs="Times New Roman"/>
          <w:kern w:val="0"/>
          <w14:ligatures w14:val="none"/>
        </w:rPr>
      </w:pPr>
      <w:r>
        <w:rPr>
          <w:noProof/>
        </w:rPr>
      </w:r>
      <w:r>
        <w:pict w14:anchorId="3511DAF1">
          <v:rect id="Horizontal Line 2"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1BAFEE" w14:textId="77777777" w:rsidR="0040483D" w:rsidRPr="0040483D" w:rsidRDefault="0040483D" w:rsidP="004048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483D">
        <w:rPr>
          <w:rFonts w:ascii="Times New Roman" w:eastAsia="Times New Roman" w:hAnsi="Times New Roman" w:cs="Times New Roman"/>
          <w:b/>
          <w:bCs/>
          <w:kern w:val="0"/>
          <w:sz w:val="36"/>
          <w:szCs w:val="36"/>
          <w14:ligatures w14:val="none"/>
        </w:rPr>
        <w:t>Recovered RA-Native Results (from chat history search)</w:t>
      </w:r>
    </w:p>
    <w:p w14:paraId="1B390911"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The following results were established in previous sessions (primarily RA Main Chat 3, April 5, 2026; and Eternal Inflation session, April 5–7, 2026) but were not reflected in the current session's initial assessment. Claude's earlier assessment incorrectly described Lovelock dependencies and open hard walls that had already been dissolved.</w:t>
      </w:r>
    </w:p>
    <w:p w14:paraId="761D8F37" w14:textId="77777777" w:rsidR="0040483D" w:rsidRPr="0040483D" w:rsidRDefault="0040483D" w:rsidP="004048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483D">
        <w:rPr>
          <w:rFonts w:ascii="Times New Roman" w:eastAsia="Times New Roman" w:hAnsi="Times New Roman" w:cs="Times New Roman"/>
          <w:b/>
          <w:bCs/>
          <w:kern w:val="0"/>
          <w:sz w:val="27"/>
          <w:szCs w:val="27"/>
          <w14:ligatures w14:val="none"/>
        </w:rPr>
        <w:t>1. O10 (Discrete Bianchi) — DISSOLVED (Apr 5)</w:t>
      </w:r>
    </w:p>
    <w:p w14:paraId="670C1A1A"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lastRenderedPageBreak/>
        <w:t>The Bianchi identity IS the LLC in continuum costume.</w:t>
      </w:r>
    </w:p>
    <w:p w14:paraId="565251A7"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 xml:space="preserve">The old framing asked: "Prove </w:t>
      </w:r>
      <w:r w:rsidRPr="0040483D">
        <w:rPr>
          <w:rFonts w:ascii="Cambria Math" w:eastAsia="Times New Roman" w:hAnsi="Cambria Math" w:cs="Cambria Math"/>
          <w:kern w:val="0"/>
          <w14:ligatures w14:val="none"/>
        </w:rPr>
        <w:t>∇</w:t>
      </w:r>
      <w:r w:rsidRPr="0040483D">
        <w:rPr>
          <w:rFonts w:ascii="Times New Roman" w:eastAsia="Times New Roman" w:hAnsi="Times New Roman" w:cs="Times New Roman"/>
          <w:kern w:val="0"/>
          <w14:ligatures w14:val="none"/>
        </w:rPr>
        <w:t xml:space="preserve">_μG^μν = 0 on a discrete DAG." This is the wrong question — it imports a continuous identity and asks the DAG to satisfy it. The DAG doesn't satisfy the Bianchi identity; the Bianchi identity is what the LLC </w:t>
      </w:r>
      <w:r w:rsidRPr="0040483D">
        <w:rPr>
          <w:rFonts w:ascii="Times New Roman" w:eastAsia="Times New Roman" w:hAnsi="Times New Roman" w:cs="Times New Roman"/>
          <w:i/>
          <w:iCs/>
          <w:kern w:val="0"/>
          <w14:ligatures w14:val="none"/>
        </w:rPr>
        <w:t>looks like</w:t>
      </w:r>
      <w:r w:rsidRPr="0040483D">
        <w:rPr>
          <w:rFonts w:ascii="Times New Roman" w:eastAsia="Times New Roman" w:hAnsi="Times New Roman" w:cs="Times New Roman"/>
          <w:kern w:val="0"/>
          <w14:ligatures w14:val="none"/>
        </w:rPr>
        <w:t xml:space="preserve"> when you approximate the DAG as a smooth manifold.</w:t>
      </w:r>
    </w:p>
    <w:p w14:paraId="2F135753"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The RA-native GR derivation chain (NO Lovelock):</w:t>
      </w:r>
    </w:p>
    <w:p w14:paraId="1409D4F6" w14:textId="77777777" w:rsidR="0040483D" w:rsidRPr="0040483D" w:rsidRDefault="0040483D" w:rsidP="00404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3D">
        <w:rPr>
          <w:rFonts w:ascii="Courier New" w:eastAsia="Times New Roman" w:hAnsi="Courier New" w:cs="Courier New"/>
          <w:kern w:val="0"/>
          <w:sz w:val="20"/>
          <w:szCs w:val="20"/>
          <w14:ligatures w14:val="none"/>
        </w:rPr>
        <w:t>L01 (LLC, LV) + O01 (amplitude locality, LV) + L11 (d=4, LV)</w:t>
      </w:r>
    </w:p>
    <w:p w14:paraId="583B919F" w14:textId="77777777" w:rsidR="0040483D" w:rsidRPr="0040483D" w:rsidRDefault="0040483D" w:rsidP="00404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3D">
        <w:rPr>
          <w:rFonts w:ascii="Courier New" w:eastAsia="Times New Roman" w:hAnsi="Courier New" w:cs="Courier New"/>
          <w:kern w:val="0"/>
          <w:sz w:val="20"/>
          <w:szCs w:val="20"/>
          <w14:ligatures w14:val="none"/>
        </w:rPr>
        <w:t xml:space="preserve">  → BDG uniqueness (Benincasa-Dowker 2010, published)</w:t>
      </w:r>
    </w:p>
    <w:p w14:paraId="004E59B5" w14:textId="77777777" w:rsidR="0040483D" w:rsidRPr="0040483D" w:rsidRDefault="0040483D" w:rsidP="00404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3D">
        <w:rPr>
          <w:rFonts w:ascii="Courier New" w:eastAsia="Times New Roman" w:hAnsi="Courier New" w:cs="Courier New"/>
          <w:kern w:val="0"/>
          <w:sz w:val="20"/>
          <w:szCs w:val="20"/>
          <w14:ligatures w14:val="none"/>
        </w:rPr>
        <w:t xml:space="preserve">  → BDG action = Einstein-Hilbert in continuum limit (BD Thm 1)</w:t>
      </w:r>
    </w:p>
    <w:p w14:paraId="58D4192B" w14:textId="77777777" w:rsidR="0040483D" w:rsidRPr="0040483D" w:rsidRDefault="0040483D" w:rsidP="00404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3D">
        <w:rPr>
          <w:rFonts w:ascii="Courier New" w:eastAsia="Times New Roman" w:hAnsi="Courier New" w:cs="Courier New"/>
          <w:kern w:val="0"/>
          <w:sz w:val="20"/>
          <w:szCs w:val="20"/>
          <w14:ligatures w14:val="none"/>
        </w:rPr>
        <w:t xml:space="preserve">  → Variation of EH → G_μν = 8πG P_act[T_μν]</w:t>
      </w:r>
    </w:p>
    <w:p w14:paraId="5BD66B1A" w14:textId="77777777" w:rsidR="0040483D" w:rsidRPr="0040483D" w:rsidRDefault="0040483D" w:rsidP="00404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483D">
        <w:rPr>
          <w:rFonts w:ascii="Courier New" w:eastAsia="Times New Roman" w:hAnsi="Courier New" w:cs="Courier New"/>
          <w:kern w:val="0"/>
          <w:sz w:val="20"/>
          <w:szCs w:val="20"/>
          <w14:ligatures w14:val="none"/>
        </w:rPr>
        <w:t xml:space="preserve">  → LLC on source → </w:t>
      </w:r>
      <w:r w:rsidRPr="0040483D">
        <w:rPr>
          <w:rFonts w:ascii="Cambria Math" w:eastAsia="Times New Roman" w:hAnsi="Cambria Math" w:cs="Cambria Math"/>
          <w:kern w:val="0"/>
          <w:sz w:val="20"/>
          <w:szCs w:val="20"/>
          <w14:ligatures w14:val="none"/>
        </w:rPr>
        <w:t>∇</w:t>
      </w:r>
      <w:r w:rsidRPr="0040483D">
        <w:rPr>
          <w:rFonts w:ascii="Courier New" w:eastAsia="Times New Roman" w:hAnsi="Courier New" w:cs="Courier New"/>
          <w:kern w:val="0"/>
          <w:sz w:val="20"/>
          <w:szCs w:val="20"/>
          <w14:ligatures w14:val="none"/>
        </w:rPr>
        <w:t xml:space="preserve">_μT^μν = 0 → </w:t>
      </w:r>
      <w:r w:rsidRPr="0040483D">
        <w:rPr>
          <w:rFonts w:ascii="Cambria Math" w:eastAsia="Times New Roman" w:hAnsi="Cambria Math" w:cs="Cambria Math"/>
          <w:kern w:val="0"/>
          <w:sz w:val="20"/>
          <w:szCs w:val="20"/>
          <w14:ligatures w14:val="none"/>
        </w:rPr>
        <w:t>∇</w:t>
      </w:r>
      <w:r w:rsidRPr="0040483D">
        <w:rPr>
          <w:rFonts w:ascii="Courier New" w:eastAsia="Times New Roman" w:hAnsi="Courier New" w:cs="Courier New"/>
          <w:kern w:val="0"/>
          <w:sz w:val="20"/>
          <w:szCs w:val="20"/>
          <w14:ligatures w14:val="none"/>
        </w:rPr>
        <w:t>_μG^μν = 0</w:t>
      </w:r>
    </w:p>
    <w:p w14:paraId="4BD79C90"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Key philosophical point: In standard GR, the geometric Bianchi identity and matter conservation are mysteriously compatible. In RA, they're the SAME conservation law (LLC) at different levels of description. The mystery dissolves.</w:t>
      </w:r>
    </w:p>
    <w:p w14:paraId="299E0B2B"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Status: DR</w:t>
      </w:r>
      <w:r w:rsidRPr="0040483D">
        <w:rPr>
          <w:rFonts w:ascii="Times New Roman" w:eastAsia="Times New Roman" w:hAnsi="Times New Roman" w:cs="Times New Roman"/>
          <w:kern w:val="0"/>
          <w14:ligatures w14:val="none"/>
        </w:rPr>
        <w:t xml:space="preserve"> (derived from three LV results + published BD theorem)</w:t>
      </w:r>
    </w:p>
    <w:p w14:paraId="2F1F35B5" w14:textId="77777777" w:rsidR="0040483D" w:rsidRPr="0040483D" w:rsidRDefault="0040483D" w:rsidP="004048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483D">
        <w:rPr>
          <w:rFonts w:ascii="Times New Roman" w:eastAsia="Times New Roman" w:hAnsi="Times New Roman" w:cs="Times New Roman"/>
          <w:b/>
          <w:bCs/>
          <w:kern w:val="0"/>
          <w:sz w:val="27"/>
          <w:szCs w:val="27"/>
          <w14:ligatures w14:val="none"/>
        </w:rPr>
        <w:t>2. O11 (Lorentz Emergence) — DISSOLVED (Apr 5)</w:t>
      </w:r>
    </w:p>
    <w:p w14:paraId="5B5C265C"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Lorentz invariance IS causal invariance in continuum costume.</w:t>
      </w:r>
    </w:p>
    <w:p w14:paraId="79388DCE"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The DAG has causal invariance (O02, LV) — the quantum measure is independent of the linear extension. This is the discrete version of "no preferred frame." In the continuum limit, the unique BDG dynamics (Dowker-Glaser 2013) exhibits Lorentz invariance.</w:t>
      </w:r>
    </w:p>
    <w:p w14:paraId="09A517BE"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The DAG doesn't obey Lorentz invariance. Lorentz invariance obeys the DAG.</w:t>
      </w:r>
    </w:p>
    <w:p w14:paraId="1D8C89E6"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Status: DR</w:t>
      </w:r>
      <w:r w:rsidRPr="0040483D">
        <w:rPr>
          <w:rFonts w:ascii="Times New Roman" w:eastAsia="Times New Roman" w:hAnsi="Times New Roman" w:cs="Times New Roman"/>
          <w:kern w:val="0"/>
          <w14:ligatures w14:val="none"/>
        </w:rPr>
        <w:t xml:space="preserve"> (same argument structure as O10)</w:t>
      </w:r>
    </w:p>
    <w:p w14:paraId="33930709" w14:textId="77777777" w:rsidR="0040483D" w:rsidRPr="0040483D" w:rsidRDefault="0040483D" w:rsidP="004048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483D">
        <w:rPr>
          <w:rFonts w:ascii="Times New Roman" w:eastAsia="Times New Roman" w:hAnsi="Times New Roman" w:cs="Times New Roman"/>
          <w:b/>
          <w:bCs/>
          <w:kern w:val="0"/>
          <w:sz w:val="27"/>
          <w:szCs w:val="27"/>
          <w14:ligatures w14:val="none"/>
        </w:rPr>
        <w:t>3. GS02: Gauge Groups from BDG Sign Mechanism — CV (Apr 5)</w:t>
      </w:r>
    </w:p>
    <w:p w14:paraId="2A81ACE0"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The SM gauge group SU(3)×SU(2)×U(1) is a consequence of counting.</w:t>
      </w:r>
    </w:p>
    <w:p w14:paraId="4BD1E797"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The BDG coefficients alternate in sign (+,−,+,−,+) because they come from inclusion-exclusion counting of causal intervals in d=4. The sign determines angular structure at each depth: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436"/>
        <w:gridCol w:w="514"/>
        <w:gridCol w:w="3222"/>
        <w:gridCol w:w="1748"/>
      </w:tblGrid>
      <w:tr w:rsidR="0040483D" w:rsidRPr="0040483D" w14:paraId="7A2A0D63" w14:textId="77777777">
        <w:trPr>
          <w:tblHeader/>
          <w:tblCellSpacing w:w="15" w:type="dxa"/>
        </w:trPr>
        <w:tc>
          <w:tcPr>
            <w:tcW w:w="0" w:type="auto"/>
            <w:vAlign w:val="center"/>
            <w:hideMark/>
          </w:tcPr>
          <w:p w14:paraId="4EAE5A01" w14:textId="77777777" w:rsidR="0040483D" w:rsidRPr="0040483D" w:rsidRDefault="0040483D" w:rsidP="0040483D">
            <w:pPr>
              <w:spacing w:after="0" w:line="240" w:lineRule="auto"/>
              <w:jc w:val="center"/>
              <w:rPr>
                <w:rFonts w:ascii="Times New Roman" w:eastAsia="Times New Roman" w:hAnsi="Times New Roman" w:cs="Times New Roman"/>
                <w:b/>
                <w:bCs/>
                <w:kern w:val="0"/>
                <w14:ligatures w14:val="none"/>
              </w:rPr>
            </w:pPr>
            <w:r w:rsidRPr="0040483D">
              <w:rPr>
                <w:rFonts w:ascii="Times New Roman" w:eastAsia="Times New Roman" w:hAnsi="Times New Roman" w:cs="Times New Roman"/>
                <w:b/>
                <w:bCs/>
                <w:kern w:val="0"/>
                <w14:ligatures w14:val="none"/>
              </w:rPr>
              <w:t>Depth</w:t>
            </w:r>
          </w:p>
        </w:tc>
        <w:tc>
          <w:tcPr>
            <w:tcW w:w="0" w:type="auto"/>
            <w:vAlign w:val="center"/>
            <w:hideMark/>
          </w:tcPr>
          <w:p w14:paraId="11BFC384" w14:textId="77777777" w:rsidR="0040483D" w:rsidRPr="0040483D" w:rsidRDefault="0040483D" w:rsidP="0040483D">
            <w:pPr>
              <w:spacing w:after="0" w:line="240" w:lineRule="auto"/>
              <w:jc w:val="center"/>
              <w:rPr>
                <w:rFonts w:ascii="Times New Roman" w:eastAsia="Times New Roman" w:hAnsi="Times New Roman" w:cs="Times New Roman"/>
                <w:b/>
                <w:bCs/>
                <w:kern w:val="0"/>
                <w14:ligatures w14:val="none"/>
              </w:rPr>
            </w:pPr>
            <w:r w:rsidRPr="0040483D">
              <w:rPr>
                <w:rFonts w:ascii="Times New Roman" w:eastAsia="Times New Roman" w:hAnsi="Times New Roman" w:cs="Times New Roman"/>
                <w:b/>
                <w:bCs/>
                <w:kern w:val="0"/>
                <w14:ligatures w14:val="none"/>
              </w:rPr>
              <w:t>c_k</w:t>
            </w:r>
          </w:p>
        </w:tc>
        <w:tc>
          <w:tcPr>
            <w:tcW w:w="0" w:type="auto"/>
            <w:vAlign w:val="center"/>
            <w:hideMark/>
          </w:tcPr>
          <w:p w14:paraId="04BC48B1" w14:textId="77777777" w:rsidR="0040483D" w:rsidRPr="0040483D" w:rsidRDefault="0040483D" w:rsidP="0040483D">
            <w:pPr>
              <w:spacing w:after="0" w:line="240" w:lineRule="auto"/>
              <w:jc w:val="center"/>
              <w:rPr>
                <w:rFonts w:ascii="Times New Roman" w:eastAsia="Times New Roman" w:hAnsi="Times New Roman" w:cs="Times New Roman"/>
                <w:b/>
                <w:bCs/>
                <w:kern w:val="0"/>
                <w14:ligatures w14:val="none"/>
              </w:rPr>
            </w:pPr>
            <w:r w:rsidRPr="0040483D">
              <w:rPr>
                <w:rFonts w:ascii="Times New Roman" w:eastAsia="Times New Roman" w:hAnsi="Times New Roman" w:cs="Times New Roman"/>
                <w:b/>
                <w:bCs/>
                <w:kern w:val="0"/>
                <w14:ligatures w14:val="none"/>
              </w:rPr>
              <w:t>Sign</w:t>
            </w:r>
          </w:p>
        </w:tc>
        <w:tc>
          <w:tcPr>
            <w:tcW w:w="0" w:type="auto"/>
            <w:vAlign w:val="center"/>
            <w:hideMark/>
          </w:tcPr>
          <w:p w14:paraId="463D6872" w14:textId="77777777" w:rsidR="0040483D" w:rsidRPr="0040483D" w:rsidRDefault="0040483D" w:rsidP="0040483D">
            <w:pPr>
              <w:spacing w:after="0" w:line="240" w:lineRule="auto"/>
              <w:jc w:val="center"/>
              <w:rPr>
                <w:rFonts w:ascii="Times New Roman" w:eastAsia="Times New Roman" w:hAnsi="Times New Roman" w:cs="Times New Roman"/>
                <w:b/>
                <w:bCs/>
                <w:kern w:val="0"/>
                <w14:ligatures w14:val="none"/>
              </w:rPr>
            </w:pPr>
            <w:r w:rsidRPr="0040483D">
              <w:rPr>
                <w:rFonts w:ascii="Times New Roman" w:eastAsia="Times New Roman" w:hAnsi="Times New Roman" w:cs="Times New Roman"/>
                <w:b/>
                <w:bCs/>
                <w:kern w:val="0"/>
                <w14:ligatures w14:val="none"/>
              </w:rPr>
              <w:t>Effect</w:t>
            </w:r>
          </w:p>
        </w:tc>
        <w:tc>
          <w:tcPr>
            <w:tcW w:w="0" w:type="auto"/>
            <w:vAlign w:val="center"/>
            <w:hideMark/>
          </w:tcPr>
          <w:p w14:paraId="3CDCB575" w14:textId="77777777" w:rsidR="0040483D" w:rsidRPr="0040483D" w:rsidRDefault="0040483D" w:rsidP="0040483D">
            <w:pPr>
              <w:spacing w:after="0" w:line="240" w:lineRule="auto"/>
              <w:jc w:val="center"/>
              <w:rPr>
                <w:rFonts w:ascii="Times New Roman" w:eastAsia="Times New Roman" w:hAnsi="Times New Roman" w:cs="Times New Roman"/>
                <w:b/>
                <w:bCs/>
                <w:kern w:val="0"/>
                <w14:ligatures w14:val="none"/>
              </w:rPr>
            </w:pPr>
            <w:r w:rsidRPr="0040483D">
              <w:rPr>
                <w:rFonts w:ascii="Times New Roman" w:eastAsia="Times New Roman" w:hAnsi="Times New Roman" w:cs="Times New Roman"/>
                <w:b/>
                <w:bCs/>
                <w:kern w:val="0"/>
                <w14:ligatures w14:val="none"/>
              </w:rPr>
              <w:t>Gauge structure</w:t>
            </w:r>
          </w:p>
        </w:tc>
      </w:tr>
      <w:tr w:rsidR="0040483D" w:rsidRPr="0040483D" w14:paraId="7B40E5F3" w14:textId="77777777">
        <w:trPr>
          <w:tblCellSpacing w:w="15" w:type="dxa"/>
        </w:trPr>
        <w:tc>
          <w:tcPr>
            <w:tcW w:w="0" w:type="auto"/>
            <w:vAlign w:val="center"/>
            <w:hideMark/>
          </w:tcPr>
          <w:p w14:paraId="3A507E89"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0</w:t>
            </w:r>
          </w:p>
        </w:tc>
        <w:tc>
          <w:tcPr>
            <w:tcW w:w="0" w:type="auto"/>
            <w:vAlign w:val="center"/>
            <w:hideMark/>
          </w:tcPr>
          <w:p w14:paraId="3D131314"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+1</w:t>
            </w:r>
          </w:p>
        </w:tc>
        <w:tc>
          <w:tcPr>
            <w:tcW w:w="0" w:type="auto"/>
            <w:vAlign w:val="center"/>
            <w:hideMark/>
          </w:tcPr>
          <w:p w14:paraId="1FCFC0C8"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w:t>
            </w:r>
          </w:p>
        </w:tc>
        <w:tc>
          <w:tcPr>
            <w:tcW w:w="0" w:type="auto"/>
            <w:vAlign w:val="center"/>
            <w:hideMark/>
          </w:tcPr>
          <w:p w14:paraId="00237C52"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baseline</w:t>
            </w:r>
          </w:p>
        </w:tc>
        <w:tc>
          <w:tcPr>
            <w:tcW w:w="0" w:type="auto"/>
            <w:vAlign w:val="center"/>
            <w:hideMark/>
          </w:tcPr>
          <w:p w14:paraId="6C650A16"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w:t>
            </w:r>
          </w:p>
        </w:tc>
      </w:tr>
      <w:tr w:rsidR="0040483D" w:rsidRPr="0040483D" w14:paraId="36B1FC95" w14:textId="77777777">
        <w:trPr>
          <w:tblCellSpacing w:w="15" w:type="dxa"/>
        </w:trPr>
        <w:tc>
          <w:tcPr>
            <w:tcW w:w="0" w:type="auto"/>
            <w:vAlign w:val="center"/>
            <w:hideMark/>
          </w:tcPr>
          <w:p w14:paraId="03C2A261"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1</w:t>
            </w:r>
          </w:p>
        </w:tc>
        <w:tc>
          <w:tcPr>
            <w:tcW w:w="0" w:type="auto"/>
            <w:vAlign w:val="center"/>
            <w:hideMark/>
          </w:tcPr>
          <w:p w14:paraId="5CDC0388"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−1</w:t>
            </w:r>
          </w:p>
        </w:tc>
        <w:tc>
          <w:tcPr>
            <w:tcW w:w="0" w:type="auto"/>
            <w:vAlign w:val="center"/>
            <w:hideMark/>
          </w:tcPr>
          <w:p w14:paraId="7F805D42"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w:t>
            </w:r>
          </w:p>
        </w:tc>
        <w:tc>
          <w:tcPr>
            <w:tcW w:w="0" w:type="auto"/>
            <w:vAlign w:val="center"/>
            <w:hideMark/>
          </w:tcPr>
          <w:p w14:paraId="7A86998B"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E[N₁]=1 → one direction → 2+1</w:t>
            </w:r>
          </w:p>
        </w:tc>
        <w:tc>
          <w:tcPr>
            <w:tcW w:w="0" w:type="auto"/>
            <w:vAlign w:val="center"/>
            <w:hideMark/>
          </w:tcPr>
          <w:p w14:paraId="18BD7158"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SU(2)×U(1)</w:t>
            </w:r>
          </w:p>
        </w:tc>
      </w:tr>
      <w:tr w:rsidR="0040483D" w:rsidRPr="0040483D" w14:paraId="3CEBBC67" w14:textId="77777777">
        <w:trPr>
          <w:tblCellSpacing w:w="15" w:type="dxa"/>
        </w:trPr>
        <w:tc>
          <w:tcPr>
            <w:tcW w:w="0" w:type="auto"/>
            <w:vAlign w:val="center"/>
            <w:hideMark/>
          </w:tcPr>
          <w:p w14:paraId="6533C222"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2</w:t>
            </w:r>
          </w:p>
        </w:tc>
        <w:tc>
          <w:tcPr>
            <w:tcW w:w="0" w:type="auto"/>
            <w:vAlign w:val="center"/>
            <w:hideMark/>
          </w:tcPr>
          <w:p w14:paraId="0DAB82AC"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+9</w:t>
            </w:r>
          </w:p>
        </w:tc>
        <w:tc>
          <w:tcPr>
            <w:tcW w:w="0" w:type="auto"/>
            <w:vAlign w:val="center"/>
            <w:hideMark/>
          </w:tcPr>
          <w:p w14:paraId="07C0BEAE"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w:t>
            </w:r>
          </w:p>
        </w:tc>
        <w:tc>
          <w:tcPr>
            <w:tcW w:w="0" w:type="auto"/>
            <w:vAlign w:val="center"/>
            <w:hideMark/>
          </w:tcPr>
          <w:p w14:paraId="085FC38D"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distributed → scalar</w:t>
            </w:r>
          </w:p>
        </w:tc>
        <w:tc>
          <w:tcPr>
            <w:tcW w:w="0" w:type="auto"/>
            <w:vAlign w:val="center"/>
            <w:hideMark/>
          </w:tcPr>
          <w:p w14:paraId="5CDD9D63"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U(1)</w:t>
            </w:r>
            <w:r w:rsidRPr="0040483D">
              <w:rPr>
                <w:rFonts w:ascii="Times New Roman" w:eastAsia="Times New Roman" w:hAnsi="Times New Roman" w:cs="Times New Roman"/>
                <w:kern w:val="0"/>
                <w14:ligatures w14:val="none"/>
              </w:rPr>
              <w:t xml:space="preserve"> remnant</w:t>
            </w:r>
          </w:p>
        </w:tc>
      </w:tr>
      <w:tr w:rsidR="0040483D" w:rsidRPr="0040483D" w14:paraId="63E97BC6" w14:textId="77777777">
        <w:trPr>
          <w:tblCellSpacing w:w="15" w:type="dxa"/>
        </w:trPr>
        <w:tc>
          <w:tcPr>
            <w:tcW w:w="0" w:type="auto"/>
            <w:vAlign w:val="center"/>
            <w:hideMark/>
          </w:tcPr>
          <w:p w14:paraId="3AA7824D"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3</w:t>
            </w:r>
          </w:p>
        </w:tc>
        <w:tc>
          <w:tcPr>
            <w:tcW w:w="0" w:type="auto"/>
            <w:vAlign w:val="center"/>
            <w:hideMark/>
          </w:tcPr>
          <w:p w14:paraId="473E975E"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−16</w:t>
            </w:r>
          </w:p>
        </w:tc>
        <w:tc>
          <w:tcPr>
            <w:tcW w:w="0" w:type="auto"/>
            <w:vAlign w:val="center"/>
            <w:hideMark/>
          </w:tcPr>
          <w:p w14:paraId="4741D15B"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w:t>
            </w:r>
          </w:p>
        </w:tc>
        <w:tc>
          <w:tcPr>
            <w:tcW w:w="0" w:type="auto"/>
            <w:vAlign w:val="center"/>
            <w:hideMark/>
          </w:tcPr>
          <w:p w14:paraId="43097297"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heavily penalized → confined</w:t>
            </w:r>
          </w:p>
        </w:tc>
        <w:tc>
          <w:tcPr>
            <w:tcW w:w="0" w:type="auto"/>
            <w:vAlign w:val="center"/>
            <w:hideMark/>
          </w:tcPr>
          <w:p w14:paraId="5C7DDF39"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 xml:space="preserve">inherits </w:t>
            </w:r>
            <w:r w:rsidRPr="0040483D">
              <w:rPr>
                <w:rFonts w:ascii="Times New Roman" w:eastAsia="Times New Roman" w:hAnsi="Times New Roman" w:cs="Times New Roman"/>
                <w:b/>
                <w:bCs/>
                <w:kern w:val="0"/>
                <w14:ligatures w14:val="none"/>
              </w:rPr>
              <w:t>SU(3)</w:t>
            </w:r>
          </w:p>
        </w:tc>
      </w:tr>
      <w:tr w:rsidR="0040483D" w:rsidRPr="0040483D" w14:paraId="3D5E8E9F" w14:textId="77777777">
        <w:trPr>
          <w:tblCellSpacing w:w="15" w:type="dxa"/>
        </w:trPr>
        <w:tc>
          <w:tcPr>
            <w:tcW w:w="0" w:type="auto"/>
            <w:vAlign w:val="center"/>
            <w:hideMark/>
          </w:tcPr>
          <w:p w14:paraId="0F3E549E"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lastRenderedPageBreak/>
              <w:t>4</w:t>
            </w:r>
          </w:p>
        </w:tc>
        <w:tc>
          <w:tcPr>
            <w:tcW w:w="0" w:type="auto"/>
            <w:vAlign w:val="center"/>
            <w:hideMark/>
          </w:tcPr>
          <w:p w14:paraId="6540E446"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+8</w:t>
            </w:r>
          </w:p>
        </w:tc>
        <w:tc>
          <w:tcPr>
            <w:tcW w:w="0" w:type="auto"/>
            <w:vAlign w:val="center"/>
            <w:hideMark/>
          </w:tcPr>
          <w:p w14:paraId="05823816"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w:t>
            </w:r>
          </w:p>
        </w:tc>
        <w:tc>
          <w:tcPr>
            <w:tcW w:w="0" w:type="auto"/>
            <w:vAlign w:val="center"/>
            <w:hideMark/>
          </w:tcPr>
          <w:p w14:paraId="6FAE519F"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distributed → isotropic</w:t>
            </w:r>
          </w:p>
        </w:tc>
        <w:tc>
          <w:tcPr>
            <w:tcW w:w="0" w:type="auto"/>
            <w:vAlign w:val="center"/>
            <w:hideMark/>
          </w:tcPr>
          <w:p w14:paraId="0D7E325B"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 xml:space="preserve">native </w:t>
            </w:r>
            <w:r w:rsidRPr="0040483D">
              <w:rPr>
                <w:rFonts w:ascii="Times New Roman" w:eastAsia="Times New Roman" w:hAnsi="Times New Roman" w:cs="Times New Roman"/>
                <w:b/>
                <w:bCs/>
                <w:kern w:val="0"/>
                <w14:ligatures w14:val="none"/>
              </w:rPr>
              <w:t>SU(3)</w:t>
            </w:r>
          </w:p>
        </w:tc>
      </w:tr>
    </w:tbl>
    <w:p w14:paraId="6F924120"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Positive c_k → isotropic (full symmetry). Negative c_k → anisotropic (broken symmetry). Verified by exact enumeration: E[N_k|S&gt;0] confirms sign(c_k) controls ancestor count direction for all k=1..4.</w:t>
      </w:r>
    </w:p>
    <w:p w14:paraId="58D960E2"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Status: CV</w:t>
      </w:r>
      <w:r w:rsidRPr="0040483D">
        <w:rPr>
          <w:rFonts w:ascii="Times New Roman" w:eastAsia="Times New Roman" w:hAnsi="Times New Roman" w:cs="Times New Roman"/>
          <w:kern w:val="0"/>
          <w14:ligatures w14:val="none"/>
        </w:rPr>
        <w:t xml:space="preserve"> (upgraded from AR by exact enumeration)</w:t>
      </w:r>
    </w:p>
    <w:p w14:paraId="2666AC79" w14:textId="77777777" w:rsidR="0040483D" w:rsidRPr="0040483D" w:rsidRDefault="0040483D" w:rsidP="004048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483D">
        <w:rPr>
          <w:rFonts w:ascii="Times New Roman" w:eastAsia="Times New Roman" w:hAnsi="Times New Roman" w:cs="Times New Roman"/>
          <w:b/>
          <w:bCs/>
          <w:kern w:val="0"/>
          <w:sz w:val="27"/>
          <w:szCs w:val="27"/>
          <w14:ligatures w14:val="none"/>
        </w:rPr>
        <w:t>4. CMB Anomalies from Kerr Nucleation (Apr 5–7)</w:t>
      </w:r>
    </w:p>
    <w:p w14:paraId="4BF366C9"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Five CMB anomalies explained by a single mechanism — Kerr SMBH nucleation:</w:t>
      </w:r>
    </w:p>
    <w:p w14:paraId="53BB1C23" w14:textId="77777777" w:rsidR="0040483D" w:rsidRPr="0040483D" w:rsidRDefault="0040483D" w:rsidP="004048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Low quadrupole</w:t>
      </w:r>
      <w:r w:rsidRPr="0040483D">
        <w:rPr>
          <w:rFonts w:ascii="Times New Roman" w:eastAsia="Times New Roman" w:hAnsi="Times New Roman" w:cs="Times New Roman"/>
          <w:kern w:val="0"/>
          <w14:ligatures w14:val="none"/>
        </w:rPr>
        <w:t xml:space="preserve"> (C₂ suppressed 80%) → coherent nucleation quadrupole partially cancels stochastic component</w:t>
      </w:r>
    </w:p>
    <w:p w14:paraId="4C3352DD" w14:textId="77777777" w:rsidR="0040483D" w:rsidRPr="0040483D" w:rsidRDefault="0040483D" w:rsidP="004048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Quadrupole-octupole alignment</w:t>
      </w:r>
      <w:r w:rsidRPr="0040483D">
        <w:rPr>
          <w:rFonts w:ascii="Times New Roman" w:eastAsia="Times New Roman" w:hAnsi="Times New Roman" w:cs="Times New Roman"/>
          <w:kern w:val="0"/>
          <w14:ligatures w14:val="none"/>
        </w:rPr>
        <w:t xml:space="preserve"> (axis of evil) → both inherit parent SMBH spin axis</w:t>
      </w:r>
    </w:p>
    <w:p w14:paraId="67FED48E" w14:textId="77777777" w:rsidR="0040483D" w:rsidRPr="0040483D" w:rsidRDefault="0040483D" w:rsidP="004048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North/South hemisphere asymmetry</w:t>
      </w:r>
      <w:r w:rsidRPr="0040483D">
        <w:rPr>
          <w:rFonts w:ascii="Times New Roman" w:eastAsia="Times New Roman" w:hAnsi="Times New Roman" w:cs="Times New Roman"/>
          <w:kern w:val="0"/>
          <w14:ligatures w14:val="none"/>
        </w:rPr>
        <w:t xml:space="preserve"> → accretion-driven ε₃ breaks equatorial symmetry</w:t>
      </w:r>
    </w:p>
    <w:p w14:paraId="362D377C" w14:textId="77777777" w:rsidR="0040483D" w:rsidRPr="0040483D" w:rsidRDefault="0040483D" w:rsidP="004048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Normal octupole</w:t>
      </w:r>
      <w:r w:rsidRPr="0040483D">
        <w:rPr>
          <w:rFonts w:ascii="Times New Roman" w:eastAsia="Times New Roman" w:hAnsi="Times New Roman" w:cs="Times New Roman"/>
          <w:kern w:val="0"/>
          <w14:ligatures w14:val="none"/>
        </w:rPr>
        <w:t xml:space="preserve"> (C₃ consistent with ΛCDM) → nucleation ℓ=3 is ~e⁻² weaker than ℓ=2</w:t>
      </w:r>
    </w:p>
    <w:p w14:paraId="7FB65919" w14:textId="77777777" w:rsidR="0040483D" w:rsidRPr="0040483D" w:rsidRDefault="0040483D" w:rsidP="004048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Normal higher multipoles</w:t>
      </w:r>
      <w:r w:rsidRPr="0040483D">
        <w:rPr>
          <w:rFonts w:ascii="Times New Roman" w:eastAsia="Times New Roman" w:hAnsi="Times New Roman" w:cs="Times New Roman"/>
          <w:kern w:val="0"/>
          <w14:ligatures w14:val="none"/>
        </w:rPr>
        <w:t xml:space="preserve"> (ℓ≥4 match ΛCDM) → (2/ℓ)² dilution law</w:t>
      </w:r>
    </w:p>
    <w:p w14:paraId="1185181C"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Three parameters (a*, ΔN, δ_acc), three constraints, two consistency checks, zero remaining freedom.</w:t>
      </w:r>
    </w:p>
    <w:p w14:paraId="39FA9F99"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Key predictions: CMB alignment persists in CMB-S4 at &gt;3σ; cosmic web orientation correlates with CMB preferred axis (testable with DESI/Euclid); parent mass ~2.5–6.6 × 10⁶ M_</w:t>
      </w:r>
      <w:r w:rsidRPr="0040483D">
        <w:rPr>
          <w:rFonts w:ascii="Segoe UI Symbol" w:eastAsia="Times New Roman" w:hAnsi="Segoe UI Symbol" w:cs="Segoe UI Symbol"/>
          <w:kern w:val="0"/>
          <w14:ligatures w14:val="none"/>
        </w:rPr>
        <w:t>☉</w:t>
      </w:r>
      <w:r w:rsidRPr="0040483D">
        <w:rPr>
          <w:rFonts w:ascii="Times New Roman" w:eastAsia="Times New Roman" w:hAnsi="Times New Roman" w:cs="Times New Roman"/>
          <w:kern w:val="0"/>
          <w14:ligatures w14:val="none"/>
        </w:rPr>
        <w:t>.</w:t>
      </w:r>
    </w:p>
    <w:p w14:paraId="5EC9779D"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ΛCDM has no mechanism for any of these. RA predicts all five as structural consequences.</w:t>
      </w:r>
    </w:p>
    <w:p w14:paraId="71FEA35D" w14:textId="77777777" w:rsidR="0040483D" w:rsidRPr="0040483D" w:rsidRDefault="0040483D" w:rsidP="004048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483D">
        <w:rPr>
          <w:rFonts w:ascii="Times New Roman" w:eastAsia="Times New Roman" w:hAnsi="Times New Roman" w:cs="Times New Roman"/>
          <w:b/>
          <w:bCs/>
          <w:kern w:val="0"/>
          <w:sz w:val="27"/>
          <w:szCs w:val="27"/>
          <w14:ligatures w14:val="none"/>
        </w:rPr>
        <w:t>5. Cosmic Web as Dynamical Attractor (Apr 5–7)</w:t>
      </w:r>
    </w:p>
    <w:p w14:paraId="50CE251D"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Density-dependent expansion feedback drives filamentary topology:</w:t>
      </w:r>
    </w:p>
    <w:p w14:paraId="0F72ACD2" w14:textId="77777777" w:rsidR="0040483D" w:rsidRPr="0040483D" w:rsidRDefault="0040483D" w:rsidP="0040483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Voids: μ → 0 → starvation severance (quiet disconnection)</w:t>
      </w:r>
    </w:p>
    <w:p w14:paraId="3D5C9B41" w14:textId="77777777" w:rsidR="0040483D" w:rsidRPr="0040483D" w:rsidRDefault="0040483D" w:rsidP="0040483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Boundaries: μ → μ₂ → density severance (daughter nucleation)</w:t>
      </w:r>
    </w:p>
    <w:p w14:paraId="24BCD179" w14:textId="77777777" w:rsidR="0040483D" w:rsidRPr="0040483D" w:rsidRDefault="0040483D" w:rsidP="0040483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Both limits terminate in causal disconnection → universe FRAGMENTS, not equilibrates</w:t>
      </w:r>
    </w:p>
    <w:p w14:paraId="7ABCE605"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Heat death prohibited.</w:t>
      </w:r>
      <w:r w:rsidRPr="0040483D">
        <w:rPr>
          <w:rFonts w:ascii="Times New Roman" w:eastAsia="Times New Roman" w:hAnsi="Times New Roman" w:cs="Times New Roman"/>
          <w:kern w:val="0"/>
          <w14:ligatures w14:val="none"/>
        </w:rPr>
        <w:t xml:space="preserve"> No single connected patch persists long enough for thermal equilibrium. Strengthens Boltzmann Brain prohibition (dynamical + structural).</w:t>
      </w:r>
    </w:p>
    <w:p w14:paraId="3BD15091" w14:textId="77777777" w:rsidR="0040483D" w:rsidRPr="0040483D" w:rsidRDefault="0040483D" w:rsidP="004048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483D">
        <w:rPr>
          <w:rFonts w:ascii="Times New Roman" w:eastAsia="Times New Roman" w:hAnsi="Times New Roman" w:cs="Times New Roman"/>
          <w:b/>
          <w:bCs/>
          <w:kern w:val="0"/>
          <w:sz w:val="27"/>
          <w:szCs w:val="27"/>
          <w14:ligatures w14:val="none"/>
        </w:rPr>
        <w:t>6. Statistics Are Consequences, Not Mechanisms</w:t>
      </w:r>
    </w:p>
    <w:p w14:paraId="680CA32A"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Poisson-CSG statistics EMERGE from BDG dynamics. The Poisson distribution for N_k is a consequence of the growth rule, not an imposed statistical assumption. Never cite Poisson-CSG as a mechanism for physical phenomena — it's a description of what the BDG dynamics produces.</w:t>
      </w:r>
    </w:p>
    <w:p w14:paraId="47DC6FF4" w14:textId="77777777" w:rsidR="0040483D" w:rsidRPr="0040483D" w:rsidRDefault="0040483D" w:rsidP="004048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483D">
        <w:rPr>
          <w:rFonts w:ascii="Times New Roman" w:eastAsia="Times New Roman" w:hAnsi="Times New Roman" w:cs="Times New Roman"/>
          <w:b/>
          <w:bCs/>
          <w:kern w:val="0"/>
          <w:sz w:val="27"/>
          <w:szCs w:val="27"/>
          <w14:ligatures w14:val="none"/>
        </w:rPr>
        <w:lastRenderedPageBreak/>
        <w:t>7. RAKB Status (as of Apr 5, pre-recovery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716"/>
      </w:tblGrid>
      <w:tr w:rsidR="0040483D" w:rsidRPr="0040483D" w14:paraId="640895D2" w14:textId="77777777">
        <w:trPr>
          <w:tblHeader/>
          <w:tblCellSpacing w:w="15" w:type="dxa"/>
        </w:trPr>
        <w:tc>
          <w:tcPr>
            <w:tcW w:w="0" w:type="auto"/>
            <w:vAlign w:val="center"/>
            <w:hideMark/>
          </w:tcPr>
          <w:p w14:paraId="6EBFBA7B" w14:textId="77777777" w:rsidR="0040483D" w:rsidRPr="0040483D" w:rsidRDefault="0040483D" w:rsidP="0040483D">
            <w:pPr>
              <w:spacing w:after="0" w:line="240" w:lineRule="auto"/>
              <w:jc w:val="center"/>
              <w:rPr>
                <w:rFonts w:ascii="Times New Roman" w:eastAsia="Times New Roman" w:hAnsi="Times New Roman" w:cs="Times New Roman"/>
                <w:b/>
                <w:bCs/>
                <w:kern w:val="0"/>
                <w14:ligatures w14:val="none"/>
              </w:rPr>
            </w:pPr>
            <w:r w:rsidRPr="0040483D">
              <w:rPr>
                <w:rFonts w:ascii="Times New Roman" w:eastAsia="Times New Roman" w:hAnsi="Times New Roman" w:cs="Times New Roman"/>
                <w:b/>
                <w:bCs/>
                <w:kern w:val="0"/>
                <w14:ligatures w14:val="none"/>
              </w:rPr>
              <w:t>Category</w:t>
            </w:r>
          </w:p>
        </w:tc>
        <w:tc>
          <w:tcPr>
            <w:tcW w:w="0" w:type="auto"/>
            <w:vAlign w:val="center"/>
            <w:hideMark/>
          </w:tcPr>
          <w:p w14:paraId="4C61EE87" w14:textId="77777777" w:rsidR="0040483D" w:rsidRPr="0040483D" w:rsidRDefault="0040483D" w:rsidP="0040483D">
            <w:pPr>
              <w:spacing w:after="0" w:line="240" w:lineRule="auto"/>
              <w:jc w:val="center"/>
              <w:rPr>
                <w:rFonts w:ascii="Times New Roman" w:eastAsia="Times New Roman" w:hAnsi="Times New Roman" w:cs="Times New Roman"/>
                <w:b/>
                <w:bCs/>
                <w:kern w:val="0"/>
                <w14:ligatures w14:val="none"/>
              </w:rPr>
            </w:pPr>
            <w:r w:rsidRPr="0040483D">
              <w:rPr>
                <w:rFonts w:ascii="Times New Roman" w:eastAsia="Times New Roman" w:hAnsi="Times New Roman" w:cs="Times New Roman"/>
                <w:b/>
                <w:bCs/>
                <w:kern w:val="0"/>
                <w14:ligatures w14:val="none"/>
              </w:rPr>
              <w:t>Count</w:t>
            </w:r>
          </w:p>
        </w:tc>
      </w:tr>
      <w:tr w:rsidR="0040483D" w:rsidRPr="0040483D" w14:paraId="68A43F9E" w14:textId="77777777">
        <w:trPr>
          <w:tblCellSpacing w:w="15" w:type="dxa"/>
        </w:trPr>
        <w:tc>
          <w:tcPr>
            <w:tcW w:w="0" w:type="auto"/>
            <w:vAlign w:val="center"/>
            <w:hideMark/>
          </w:tcPr>
          <w:p w14:paraId="38687EE5"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LV (Lean-verified)</w:t>
            </w:r>
          </w:p>
        </w:tc>
        <w:tc>
          <w:tcPr>
            <w:tcW w:w="0" w:type="auto"/>
            <w:vAlign w:val="center"/>
            <w:hideMark/>
          </w:tcPr>
          <w:p w14:paraId="1BD8D65C"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15</w:t>
            </w:r>
          </w:p>
        </w:tc>
      </w:tr>
      <w:tr w:rsidR="0040483D" w:rsidRPr="0040483D" w14:paraId="52BFCEDE" w14:textId="77777777">
        <w:trPr>
          <w:tblCellSpacing w:w="15" w:type="dxa"/>
        </w:trPr>
        <w:tc>
          <w:tcPr>
            <w:tcW w:w="0" w:type="auto"/>
            <w:vAlign w:val="center"/>
            <w:hideMark/>
          </w:tcPr>
          <w:p w14:paraId="00297315"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CV (Computation-verified)</w:t>
            </w:r>
          </w:p>
        </w:tc>
        <w:tc>
          <w:tcPr>
            <w:tcW w:w="0" w:type="auto"/>
            <w:vAlign w:val="center"/>
            <w:hideMark/>
          </w:tcPr>
          <w:p w14:paraId="5130A892"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23</w:t>
            </w:r>
          </w:p>
        </w:tc>
      </w:tr>
      <w:tr w:rsidR="0040483D" w:rsidRPr="0040483D" w14:paraId="34205D72" w14:textId="77777777">
        <w:trPr>
          <w:tblCellSpacing w:w="15" w:type="dxa"/>
        </w:trPr>
        <w:tc>
          <w:tcPr>
            <w:tcW w:w="0" w:type="auto"/>
            <w:vAlign w:val="center"/>
            <w:hideMark/>
          </w:tcPr>
          <w:p w14:paraId="236FFD1B"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DR (Derived)</w:t>
            </w:r>
          </w:p>
        </w:tc>
        <w:tc>
          <w:tcPr>
            <w:tcW w:w="0" w:type="auto"/>
            <w:vAlign w:val="center"/>
            <w:hideMark/>
          </w:tcPr>
          <w:p w14:paraId="1A4DC236"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68</w:t>
            </w:r>
          </w:p>
        </w:tc>
      </w:tr>
      <w:tr w:rsidR="0040483D" w:rsidRPr="0040483D" w14:paraId="537326F8" w14:textId="77777777">
        <w:trPr>
          <w:tblCellSpacing w:w="15" w:type="dxa"/>
        </w:trPr>
        <w:tc>
          <w:tcPr>
            <w:tcW w:w="0" w:type="auto"/>
            <w:vAlign w:val="center"/>
            <w:hideMark/>
          </w:tcPr>
          <w:p w14:paraId="58ADB15C"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AR (Argued)</w:t>
            </w:r>
          </w:p>
        </w:tc>
        <w:tc>
          <w:tcPr>
            <w:tcW w:w="0" w:type="auto"/>
            <w:vAlign w:val="center"/>
            <w:hideMark/>
          </w:tcPr>
          <w:p w14:paraId="1A79F330"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10</w:t>
            </w:r>
          </w:p>
        </w:tc>
      </w:tr>
      <w:tr w:rsidR="0040483D" w:rsidRPr="0040483D" w14:paraId="41ED39CA" w14:textId="77777777">
        <w:trPr>
          <w:tblCellSpacing w:w="15" w:type="dxa"/>
        </w:trPr>
        <w:tc>
          <w:tcPr>
            <w:tcW w:w="0" w:type="auto"/>
            <w:vAlign w:val="center"/>
            <w:hideMark/>
          </w:tcPr>
          <w:p w14:paraId="03AACA38"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OP (Open)</w:t>
            </w:r>
          </w:p>
        </w:tc>
        <w:tc>
          <w:tcPr>
            <w:tcW w:w="0" w:type="auto"/>
            <w:vAlign w:val="center"/>
            <w:hideMark/>
          </w:tcPr>
          <w:p w14:paraId="4A1C7CD1" w14:textId="77777777" w:rsidR="0040483D" w:rsidRPr="0040483D" w:rsidRDefault="0040483D" w:rsidP="0040483D">
            <w:pPr>
              <w:spacing w:after="0"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0</w:t>
            </w:r>
          </w:p>
        </w:tc>
      </w:tr>
    </w:tbl>
    <w:p w14:paraId="44CEC862"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Zero foundational open problems. Five technical problems remain (O04, O05, O07, O08, O13), of which O07 (BMV timescale) is experimentally urgent.</w:t>
      </w:r>
    </w:p>
    <w:p w14:paraId="4BEA34D0"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Note: The recovery session (earlier April 8) expanded the RAKB to 152 claims with different category counts (LV:17 CV:31 DR:73 AR:25 OP:3). The discrepancy reflects the file reorganization and claim restructuring during recovery. The canonical rakb.yaml from the Apr 5 session should be reconciled with the recovery session's outputs.</w:t>
      </w:r>
    </w:p>
    <w:p w14:paraId="72F8E7E6" w14:textId="77777777" w:rsidR="0040483D" w:rsidRPr="0040483D" w:rsidRDefault="00FA100B" w:rsidP="0040483D">
      <w:pPr>
        <w:spacing w:after="0" w:line="240" w:lineRule="auto"/>
        <w:rPr>
          <w:rFonts w:ascii="Times New Roman" w:eastAsia="Times New Roman" w:hAnsi="Times New Roman" w:cs="Times New Roman"/>
          <w:kern w:val="0"/>
          <w14:ligatures w14:val="none"/>
        </w:rPr>
      </w:pPr>
      <w:r>
        <w:rPr>
          <w:noProof/>
        </w:rPr>
      </w:r>
      <w:r>
        <w:pict w14:anchorId="0EABBD64">
          <v:rect id="Horizontal Line 3"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E568AD" w14:textId="77777777" w:rsidR="0040483D" w:rsidRPr="0040483D" w:rsidRDefault="0040483D" w:rsidP="004048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483D">
        <w:rPr>
          <w:rFonts w:ascii="Times New Roman" w:eastAsia="Times New Roman" w:hAnsi="Times New Roman" w:cs="Times New Roman"/>
          <w:b/>
          <w:bCs/>
          <w:kern w:val="0"/>
          <w:sz w:val="36"/>
          <w:szCs w:val="36"/>
          <w14:ligatures w14:val="none"/>
        </w:rPr>
        <w:t>What This Means for the Papers</w:t>
      </w:r>
    </w:p>
    <w:p w14:paraId="68ED93EE"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kern w:val="0"/>
          <w14:ligatures w14:val="none"/>
        </w:rPr>
        <w:t>The math is ready. The priority is:</w:t>
      </w:r>
    </w:p>
    <w:p w14:paraId="7D50FE8E" w14:textId="77777777" w:rsidR="0040483D" w:rsidRPr="0040483D" w:rsidRDefault="0040483D" w:rsidP="0040483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RAQM</w:t>
      </w:r>
      <w:r w:rsidRPr="0040483D">
        <w:rPr>
          <w:rFonts w:ascii="Times New Roman" w:eastAsia="Times New Roman" w:hAnsi="Times New Roman" w:cs="Times New Roman"/>
          <w:kern w:val="0"/>
          <w14:ligatures w14:val="none"/>
        </w:rPr>
        <w:t xml:space="preserve"> — awaiting editor assignment at FoP. No action needed until referee reports arrive.</w:t>
      </w:r>
    </w:p>
    <w:p w14:paraId="27427969" w14:textId="77777777" w:rsidR="0040483D" w:rsidRPr="0040483D" w:rsidRDefault="0040483D" w:rsidP="0040483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RAGC</w:t>
      </w:r>
      <w:r w:rsidRPr="0040483D">
        <w:rPr>
          <w:rFonts w:ascii="Times New Roman" w:eastAsia="Times New Roman" w:hAnsi="Times New Roman" w:cs="Times New Roman"/>
          <w:kern w:val="0"/>
          <w14:ligatures w14:val="none"/>
        </w:rPr>
        <w:t xml:space="preserve"> — not yet submitted. Should be prepared for submission.</w:t>
      </w:r>
    </w:p>
    <w:p w14:paraId="3C38734F" w14:textId="77777777" w:rsidR="0040483D" w:rsidRPr="0040483D" w:rsidRDefault="0040483D" w:rsidP="0040483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P0–P5 papers</w:t>
      </w:r>
      <w:r w:rsidRPr="0040483D">
        <w:rPr>
          <w:rFonts w:ascii="Times New Roman" w:eastAsia="Times New Roman" w:hAnsi="Times New Roman" w:cs="Times New Roman"/>
          <w:kern w:val="0"/>
          <w14:ligatures w14:val="none"/>
        </w:rPr>
        <w:t xml:space="preserve"> — must be written in the RA-native voice: BDG uniqueness chain for GR (not Lovelock), dissolved framing for O10/O11 (not "open hard walls"), statistics as consequences (not mechanisms).</w:t>
      </w:r>
    </w:p>
    <w:p w14:paraId="5CAC6016" w14:textId="77777777" w:rsidR="0040483D" w:rsidRPr="0040483D" w:rsidRDefault="0040483D" w:rsidP="0040483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O07</w:t>
      </w:r>
      <w:r w:rsidRPr="0040483D">
        <w:rPr>
          <w:rFonts w:ascii="Times New Roman" w:eastAsia="Times New Roman" w:hAnsi="Times New Roman" w:cs="Times New Roman"/>
          <w:kern w:val="0"/>
          <w14:ligatures w14:val="none"/>
        </w:rPr>
        <w:t xml:space="preserve"> — the one experimentally urgent technical calculation (BMV timescale prediction before data arrives).</w:t>
      </w:r>
    </w:p>
    <w:p w14:paraId="5BEF0348" w14:textId="77777777" w:rsidR="0040483D" w:rsidRPr="0040483D" w:rsidRDefault="00FA100B" w:rsidP="0040483D">
      <w:pPr>
        <w:spacing w:after="0" w:line="240" w:lineRule="auto"/>
        <w:rPr>
          <w:rFonts w:ascii="Times New Roman" w:eastAsia="Times New Roman" w:hAnsi="Times New Roman" w:cs="Times New Roman"/>
          <w:kern w:val="0"/>
          <w14:ligatures w14:val="none"/>
        </w:rPr>
      </w:pPr>
      <w:r>
        <w:rPr>
          <w:noProof/>
        </w:rPr>
      </w:r>
      <w:r>
        <w:pict w14:anchorId="36C86B3B">
          <v:rect id="Horizontal Lin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5DD272" w14:textId="77777777" w:rsidR="0040483D" w:rsidRPr="0040483D" w:rsidRDefault="0040483D" w:rsidP="004048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483D">
        <w:rPr>
          <w:rFonts w:ascii="Times New Roman" w:eastAsia="Times New Roman" w:hAnsi="Times New Roman" w:cs="Times New Roman"/>
          <w:b/>
          <w:bCs/>
          <w:kern w:val="0"/>
          <w:sz w:val="36"/>
          <w:szCs w:val="36"/>
          <w14:ligatures w14:val="none"/>
        </w:rPr>
        <w:t>Methodology Note</w:t>
      </w:r>
    </w:p>
    <w:p w14:paraId="595F51D4" w14:textId="77777777" w:rsid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b/>
          <w:bCs/>
          <w:kern w:val="0"/>
          <w14:ligatures w14:val="none"/>
        </w:rPr>
        <w:t>RA-native derivation is non-negotiable.</w:t>
      </w:r>
      <w:r w:rsidRPr="0040483D">
        <w:rPr>
          <w:rFonts w:ascii="Times New Roman" w:eastAsia="Times New Roman" w:hAnsi="Times New Roman" w:cs="Times New Roman"/>
          <w:kern w:val="0"/>
          <w14:ligatures w14:val="none"/>
        </w:rPr>
        <w:t xml:space="preserve"> RA does NOT depend on Lovelock, Poisson statistics, or any continuum framework. Physics is derived FROM BDG integers, causal graph structure, and discrete dynamics. RA is not apologizing to continuum theories — it derives known physics natively and makes testable predictions that DIFFER from existing theories (axis of evil, BMV null, WIMP prohibition, Hubble gradient). Consistency with existing theories where their predictions are correct is a consequence, not a dependency.</w:t>
      </w:r>
    </w:p>
    <w:p w14:paraId="1CAE7A47" w14:textId="62FBCA29" w:rsidR="00865BBE" w:rsidRPr="0040483D" w:rsidRDefault="00865BBE" w:rsidP="0040483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Workflow: Claude is to render papers in LaTeX and PDF format unless Joshua explicitly states otherwise.</w:t>
      </w:r>
    </w:p>
    <w:p w14:paraId="38D319F1" w14:textId="77777777" w:rsidR="0040483D" w:rsidRPr="0040483D" w:rsidRDefault="0040483D" w:rsidP="0040483D">
      <w:pPr>
        <w:spacing w:before="100" w:beforeAutospacing="1" w:after="100" w:afterAutospacing="1" w:line="240" w:lineRule="auto"/>
        <w:rPr>
          <w:rFonts w:ascii="Times New Roman" w:eastAsia="Times New Roman" w:hAnsi="Times New Roman" w:cs="Times New Roman"/>
          <w:kern w:val="0"/>
          <w14:ligatures w14:val="none"/>
        </w:rPr>
      </w:pPr>
      <w:r w:rsidRPr="0040483D">
        <w:rPr>
          <w:rFonts w:ascii="Times New Roman" w:eastAsia="Times New Roman" w:hAnsi="Times New Roman" w:cs="Times New Roman"/>
          <w:i/>
          <w:iCs/>
          <w:kern w:val="0"/>
          <w14:ligatures w14:val="none"/>
        </w:rPr>
        <w:t>Addendum produced by Claude (Opus 4.6), April 8, 2026.</w:t>
      </w:r>
    </w:p>
    <w:p w14:paraId="0398D7AA" w14:textId="77777777" w:rsidR="008044B8" w:rsidRDefault="008044B8"/>
    <w:sectPr w:rsidR="00804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25BD0"/>
    <w:multiLevelType w:val="multilevel"/>
    <w:tmpl w:val="EDE0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83A60"/>
    <w:multiLevelType w:val="multilevel"/>
    <w:tmpl w:val="6D94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5E3269"/>
    <w:multiLevelType w:val="multilevel"/>
    <w:tmpl w:val="49687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BE736E"/>
    <w:multiLevelType w:val="multilevel"/>
    <w:tmpl w:val="2C3E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031528">
    <w:abstractNumId w:val="0"/>
  </w:num>
  <w:num w:numId="2" w16cid:durableId="80220086">
    <w:abstractNumId w:val="1"/>
  </w:num>
  <w:num w:numId="3" w16cid:durableId="1753775860">
    <w:abstractNumId w:val="3"/>
  </w:num>
  <w:num w:numId="4" w16cid:durableId="670446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83D"/>
    <w:rsid w:val="002F51FC"/>
    <w:rsid w:val="0040483D"/>
    <w:rsid w:val="00514EE7"/>
    <w:rsid w:val="008044B8"/>
    <w:rsid w:val="00865BBE"/>
    <w:rsid w:val="00B211D6"/>
    <w:rsid w:val="00FA1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0562602"/>
  <w15:chartTrackingRefBased/>
  <w15:docId w15:val="{BCACFDA5-421A-0142-9ED7-6AC05912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4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4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4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4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83D"/>
    <w:rPr>
      <w:rFonts w:eastAsiaTheme="majorEastAsia" w:cstheme="majorBidi"/>
      <w:color w:val="272727" w:themeColor="text1" w:themeTint="D8"/>
    </w:rPr>
  </w:style>
  <w:style w:type="paragraph" w:styleId="Title">
    <w:name w:val="Title"/>
    <w:basedOn w:val="Normal"/>
    <w:next w:val="Normal"/>
    <w:link w:val="TitleChar"/>
    <w:uiPriority w:val="10"/>
    <w:qFormat/>
    <w:rsid w:val="00404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83D"/>
    <w:pPr>
      <w:spacing w:before="160"/>
      <w:jc w:val="center"/>
    </w:pPr>
    <w:rPr>
      <w:i/>
      <w:iCs/>
      <w:color w:val="404040" w:themeColor="text1" w:themeTint="BF"/>
    </w:rPr>
  </w:style>
  <w:style w:type="character" w:customStyle="1" w:styleId="QuoteChar">
    <w:name w:val="Quote Char"/>
    <w:basedOn w:val="DefaultParagraphFont"/>
    <w:link w:val="Quote"/>
    <w:uiPriority w:val="29"/>
    <w:rsid w:val="0040483D"/>
    <w:rPr>
      <w:i/>
      <w:iCs/>
      <w:color w:val="404040" w:themeColor="text1" w:themeTint="BF"/>
    </w:rPr>
  </w:style>
  <w:style w:type="paragraph" w:styleId="ListParagraph">
    <w:name w:val="List Paragraph"/>
    <w:basedOn w:val="Normal"/>
    <w:uiPriority w:val="34"/>
    <w:qFormat/>
    <w:rsid w:val="0040483D"/>
    <w:pPr>
      <w:ind w:left="720"/>
      <w:contextualSpacing/>
    </w:pPr>
  </w:style>
  <w:style w:type="character" w:styleId="IntenseEmphasis">
    <w:name w:val="Intense Emphasis"/>
    <w:basedOn w:val="DefaultParagraphFont"/>
    <w:uiPriority w:val="21"/>
    <w:qFormat/>
    <w:rsid w:val="0040483D"/>
    <w:rPr>
      <w:i/>
      <w:iCs/>
      <w:color w:val="0F4761" w:themeColor="accent1" w:themeShade="BF"/>
    </w:rPr>
  </w:style>
  <w:style w:type="paragraph" w:styleId="IntenseQuote">
    <w:name w:val="Intense Quote"/>
    <w:basedOn w:val="Normal"/>
    <w:next w:val="Normal"/>
    <w:link w:val="IntenseQuoteChar"/>
    <w:uiPriority w:val="30"/>
    <w:qFormat/>
    <w:rsid w:val="00404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83D"/>
    <w:rPr>
      <w:i/>
      <w:iCs/>
      <w:color w:val="0F4761" w:themeColor="accent1" w:themeShade="BF"/>
    </w:rPr>
  </w:style>
  <w:style w:type="character" w:styleId="IntenseReference">
    <w:name w:val="Intense Reference"/>
    <w:basedOn w:val="DefaultParagraphFont"/>
    <w:uiPriority w:val="32"/>
    <w:qFormat/>
    <w:rsid w:val="0040483D"/>
    <w:rPr>
      <w:b/>
      <w:bCs/>
      <w:smallCaps/>
      <w:color w:val="0F4761" w:themeColor="accent1" w:themeShade="BF"/>
      <w:spacing w:val="5"/>
    </w:rPr>
  </w:style>
  <w:style w:type="paragraph" w:styleId="NormalWeb">
    <w:name w:val="Normal (Web)"/>
    <w:basedOn w:val="Normal"/>
    <w:uiPriority w:val="99"/>
    <w:semiHidden/>
    <w:unhideWhenUsed/>
    <w:rsid w:val="004048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483D"/>
    <w:rPr>
      <w:b/>
      <w:bCs/>
    </w:rPr>
  </w:style>
  <w:style w:type="character" w:styleId="Emphasis">
    <w:name w:val="Emphasis"/>
    <w:basedOn w:val="DefaultParagraphFont"/>
    <w:uiPriority w:val="20"/>
    <w:qFormat/>
    <w:rsid w:val="0040483D"/>
    <w:rPr>
      <w:i/>
      <w:iCs/>
    </w:rPr>
  </w:style>
  <w:style w:type="paragraph" w:styleId="HTMLPreformatted">
    <w:name w:val="HTML Preformatted"/>
    <w:basedOn w:val="Normal"/>
    <w:link w:val="HTMLPreformattedChar"/>
    <w:uiPriority w:val="99"/>
    <w:semiHidden/>
    <w:unhideWhenUsed/>
    <w:rsid w:val="00404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0483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048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1079</Words>
  <Characters>6081</Characters>
  <Application>Microsoft Office Word</Application>
  <DocSecurity>0</DocSecurity>
  <Lines>173</Lines>
  <Paragraphs>149</Paragraphs>
  <ScaleCrop>false</ScaleCrop>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Sandeman</dc:creator>
  <cp:keywords/>
  <dc:description/>
  <cp:lastModifiedBy>Joshua Sandeman</cp:lastModifiedBy>
  <cp:revision>2</cp:revision>
  <dcterms:created xsi:type="dcterms:W3CDTF">2026-04-08T19:50:00Z</dcterms:created>
  <dcterms:modified xsi:type="dcterms:W3CDTF">2026-04-08T20:17:00Z</dcterms:modified>
</cp:coreProperties>
</file>