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CF94" w14:textId="77777777" w:rsidR="004C1346" w:rsidRDefault="00000000">
      <w:pPr>
        <w:spacing w:after="80"/>
      </w:pPr>
      <w:r>
        <w:rPr>
          <w:rFonts w:ascii="Arial" w:eastAsia="Arial" w:hAnsi="Arial" w:cs="Arial"/>
          <w:sz w:val="24"/>
          <w:szCs w:val="24"/>
        </w:rPr>
        <w:t>Joshua F. Sandeman</w:t>
      </w:r>
    </w:p>
    <w:p w14:paraId="078628ED" w14:textId="77777777" w:rsidR="004C1346" w:rsidRDefault="00000000">
      <w:pPr>
        <w:spacing w:after="80"/>
      </w:pPr>
      <w:r>
        <w:rPr>
          <w:rFonts w:ascii="Arial" w:eastAsia="Arial" w:hAnsi="Arial" w:cs="Arial"/>
          <w:sz w:val="24"/>
          <w:szCs w:val="24"/>
        </w:rPr>
        <w:t>Independent Researcher, Salem, Oregon, USA</w:t>
      </w:r>
    </w:p>
    <w:p w14:paraId="40DCBC80" w14:textId="77777777" w:rsidR="004C1346" w:rsidRDefault="00000000">
      <w:pPr>
        <w:spacing w:after="320"/>
      </w:pPr>
      <w:r>
        <w:rPr>
          <w:rFonts w:ascii="Arial" w:eastAsia="Arial" w:hAnsi="Arial" w:cs="Arial"/>
          <w:sz w:val="24"/>
          <w:szCs w:val="24"/>
        </w:rPr>
        <w:t>sansuikyo@gmail.com</w:t>
      </w:r>
    </w:p>
    <w:p w14:paraId="6F386160" w14:textId="77777777" w:rsidR="004C1346" w:rsidRDefault="00000000">
      <w:pPr>
        <w:spacing w:after="320"/>
      </w:pPr>
      <w:r>
        <w:rPr>
          <w:rFonts w:ascii="Arial" w:eastAsia="Arial" w:hAnsi="Arial" w:cs="Arial"/>
          <w:sz w:val="24"/>
          <w:szCs w:val="24"/>
        </w:rPr>
        <w:t>30 March 2026</w:t>
      </w:r>
    </w:p>
    <w:p w14:paraId="60FC88C6" w14:textId="77777777" w:rsidR="004C1346" w:rsidRDefault="00000000">
      <w:pPr>
        <w:spacing w:after="80"/>
      </w:pPr>
      <w:r>
        <w:rPr>
          <w:rFonts w:ascii="Arial" w:eastAsia="Arial" w:hAnsi="Arial" w:cs="Arial"/>
          <w:sz w:val="24"/>
          <w:szCs w:val="24"/>
        </w:rPr>
        <w:t xml:space="preserve">Editorial Office, </w:t>
      </w:r>
      <w:r>
        <w:rPr>
          <w:rFonts w:ascii="Arial" w:eastAsia="Arial" w:hAnsi="Arial" w:cs="Arial"/>
          <w:i/>
          <w:iCs/>
          <w:sz w:val="24"/>
          <w:szCs w:val="24"/>
        </w:rPr>
        <w:t>Physical Review D</w:t>
      </w:r>
    </w:p>
    <w:p w14:paraId="5317F928" w14:textId="77777777" w:rsidR="004C1346" w:rsidRDefault="00000000">
      <w:pPr>
        <w:spacing w:after="320"/>
      </w:pPr>
      <w:r>
        <w:rPr>
          <w:rFonts w:ascii="Arial" w:eastAsia="Arial" w:hAnsi="Arial" w:cs="Arial"/>
          <w:sz w:val="24"/>
          <w:szCs w:val="24"/>
        </w:rPr>
        <w:t>American Physical Society</w:t>
      </w:r>
    </w:p>
    <w:p w14:paraId="59BE5C94" w14:textId="77777777" w:rsidR="004C1346" w:rsidRDefault="00000000">
      <w:pPr>
        <w:spacing w:after="200"/>
      </w:pPr>
      <w:r>
        <w:rPr>
          <w:rFonts w:ascii="Arial" w:eastAsia="Arial" w:hAnsi="Arial" w:cs="Arial"/>
          <w:sz w:val="24"/>
          <w:szCs w:val="24"/>
        </w:rPr>
        <w:t>Dear Editor,</w:t>
      </w:r>
    </w:p>
    <w:p w14:paraId="76F28CED" w14:textId="77777777" w:rsidR="004C1346" w:rsidRDefault="00000000">
      <w:pPr>
        <w:spacing w:after="160"/>
      </w:pPr>
      <w:r>
        <w:rPr>
          <w:rFonts w:ascii="Arial" w:eastAsia="Arial" w:hAnsi="Arial" w:cs="Arial"/>
          <w:sz w:val="24"/>
          <w:szCs w:val="24"/>
        </w:rPr>
        <w:t>I am submitting for consideration the manuscript:</w:t>
      </w:r>
    </w:p>
    <w:p w14:paraId="52156744" w14:textId="77777777" w:rsidR="004C1346" w:rsidRDefault="00000000">
      <w:pPr>
        <w:spacing w:after="240"/>
        <w:ind w:left="720"/>
      </w:pPr>
      <w:r>
        <w:rPr>
          <w:rFonts w:ascii="Arial" w:eastAsia="Arial" w:hAnsi="Arial" w:cs="Arial"/>
          <w:i/>
          <w:iCs/>
          <w:sz w:val="24"/>
          <w:szCs w:val="24"/>
        </w:rPr>
        <w:t xml:space="preserve">Relational Actualism: The Topology of Matter — BDG Causal Topology, Particle Classification, </w:t>
      </w:r>
      <w:proofErr w:type="spellStart"/>
      <w:r>
        <w:rPr>
          <w:rFonts w:ascii="Arial" w:eastAsia="Arial" w:hAnsi="Arial" w:cs="Arial"/>
          <w:i/>
          <w:iCs/>
          <w:sz w:val="24"/>
          <w:szCs w:val="24"/>
        </w:rPr>
        <w:t>Colour</w:t>
      </w:r>
      <w:proofErr w:type="spellEnd"/>
      <w:r>
        <w:rPr>
          <w:rFonts w:ascii="Arial" w:eastAsia="Arial" w:hAnsi="Arial" w:cs="Arial"/>
          <w:i/>
          <w:iCs/>
          <w:sz w:val="24"/>
          <w:szCs w:val="24"/>
        </w:rPr>
        <w:t xml:space="preserve"> Confinement, and the Closure of the Standard Model Universe</w:t>
      </w:r>
    </w:p>
    <w:p w14:paraId="1A278F9F" w14:textId="77777777" w:rsidR="004C1346" w:rsidRDefault="00000000">
      <w:pPr>
        <w:spacing w:after="160"/>
      </w:pPr>
      <w:r>
        <w:rPr>
          <w:rFonts w:ascii="Arial" w:eastAsia="Arial" w:hAnsi="Arial" w:cs="Arial"/>
          <w:b/>
          <w:bCs/>
          <w:sz w:val="24"/>
          <w:szCs w:val="24"/>
        </w:rPr>
        <w:t>Why Physical Review D.</w:t>
      </w:r>
      <w:r>
        <w:rPr>
          <w:rFonts w:ascii="Arial" w:eastAsia="Arial" w:hAnsi="Arial" w:cs="Arial"/>
          <w:sz w:val="24"/>
          <w:szCs w:val="24"/>
        </w:rPr>
        <w:t xml:space="preserve"> This paper derives particle classification results — the lepton/quark distinction, </w:t>
      </w:r>
      <w:proofErr w:type="spellStart"/>
      <w:r>
        <w:rPr>
          <w:rFonts w:ascii="Arial" w:eastAsia="Arial" w:hAnsi="Arial" w:cs="Arial"/>
          <w:sz w:val="24"/>
          <w:szCs w:val="24"/>
        </w:rPr>
        <w:t>colour</w:t>
      </w:r>
      <w:proofErr w:type="spellEnd"/>
      <w:r>
        <w:rPr>
          <w:rFonts w:ascii="Arial" w:eastAsia="Arial" w:hAnsi="Arial" w:cs="Arial"/>
          <w:sz w:val="24"/>
          <w:szCs w:val="24"/>
        </w:rPr>
        <w:t xml:space="preserve"> confinement, and the closure of the Standard Model particle universe — from the discrete causal geometry of a 4-dimensional Benincasa-Dowker (BDG) causal set. The derivation lives at the intersection of causal set quantum gravity and the structural foundations of particle physics, which is precisely Physical Review D's purview. The referee pool capable of evaluating both the BDG causal set mathematics and the physical particle assignments resides primarily in the PRD community.</w:t>
      </w:r>
    </w:p>
    <w:p w14:paraId="7ABD7A29" w14:textId="77777777" w:rsidR="004C1346" w:rsidRDefault="00000000">
      <w:pPr>
        <w:spacing w:after="160"/>
      </w:pPr>
      <w:r>
        <w:rPr>
          <w:rFonts w:ascii="Arial" w:eastAsia="Arial" w:hAnsi="Arial" w:cs="Arial"/>
          <w:b/>
          <w:bCs/>
          <w:sz w:val="24"/>
          <w:szCs w:val="24"/>
        </w:rPr>
        <w:t>Summary of results.</w:t>
      </w:r>
      <w:r>
        <w:rPr>
          <w:rFonts w:ascii="Arial" w:eastAsia="Arial" w:hAnsi="Arial" w:cs="Arial"/>
          <w:sz w:val="24"/>
          <w:szCs w:val="24"/>
        </w:rPr>
        <w:t xml:space="preserve"> The paper proves, using Lean 4 formal verification, that the BDG causal set action in d = 4 selects exactly five self-similar vertex topology classes corresponding precisely to the Standard Model particle content. Three results are machine-verified:</w:t>
      </w:r>
    </w:p>
    <w:p w14:paraId="520467F6" w14:textId="77777777" w:rsidR="004C1346" w:rsidRDefault="00000000">
      <w:pPr>
        <w:pStyle w:val="ListParagraph"/>
        <w:numPr>
          <w:ilvl w:val="0"/>
          <w:numId w:val="2"/>
        </w:numPr>
        <w:spacing w:after="120"/>
      </w:pPr>
      <w:r>
        <w:rPr>
          <w:rFonts w:ascii="Arial" w:eastAsia="Arial" w:hAnsi="Arial" w:cs="Arial"/>
          <w:b/>
          <w:bCs/>
          <w:sz w:val="24"/>
          <w:szCs w:val="24"/>
        </w:rPr>
        <w:t xml:space="preserve">Topological partition theorem — </w:t>
      </w:r>
      <w:r>
        <w:rPr>
          <w:rFonts w:ascii="Arial" w:eastAsia="Arial" w:hAnsi="Arial" w:cs="Arial"/>
          <w:sz w:val="24"/>
          <w:szCs w:val="24"/>
        </w:rPr>
        <w:t>BDG-stable causal vertices divide into exactly two structural classes: sequential past (leptons and gauge bosons) and spacelike-pair past (quarks and gluons). This is a theorem of 4D causal graph geometry, not a postulate.</w:t>
      </w:r>
    </w:p>
    <w:p w14:paraId="0E1525F5" w14:textId="77777777" w:rsidR="004C1346" w:rsidRDefault="00000000">
      <w:pPr>
        <w:pStyle w:val="ListParagraph"/>
        <w:numPr>
          <w:ilvl w:val="0"/>
          <w:numId w:val="2"/>
        </w:numPr>
        <w:spacing w:after="120"/>
      </w:pPr>
      <w:proofErr w:type="spellStart"/>
      <w:r>
        <w:rPr>
          <w:rFonts w:ascii="Arial" w:eastAsia="Arial" w:hAnsi="Arial" w:cs="Arial"/>
          <w:b/>
          <w:bCs/>
          <w:sz w:val="24"/>
          <w:szCs w:val="24"/>
        </w:rPr>
        <w:t>Colour</w:t>
      </w:r>
      <w:proofErr w:type="spellEnd"/>
      <w:r>
        <w:rPr>
          <w:rFonts w:ascii="Arial" w:eastAsia="Arial" w:hAnsi="Arial" w:cs="Arial"/>
          <w:b/>
          <w:bCs/>
          <w:sz w:val="24"/>
          <w:szCs w:val="24"/>
        </w:rPr>
        <w:t xml:space="preserve"> confinement as a theorem — </w:t>
      </w:r>
      <w:r>
        <w:rPr>
          <w:rFonts w:ascii="Arial" w:eastAsia="Arial" w:hAnsi="Arial" w:cs="Arial"/>
          <w:sz w:val="24"/>
          <w:szCs w:val="24"/>
        </w:rPr>
        <w:t xml:space="preserve">gluons (confinement length L = 3) and quarks (L = 4) each encounter a BDG filter event within 3–4 actualization steps and cannot propagate freely as asymptotic states. </w:t>
      </w:r>
      <w:proofErr w:type="spellStart"/>
      <w:r>
        <w:rPr>
          <w:rFonts w:ascii="Arial" w:eastAsia="Arial" w:hAnsi="Arial" w:cs="Arial"/>
          <w:sz w:val="24"/>
          <w:szCs w:val="24"/>
        </w:rPr>
        <w:t>Colour</w:t>
      </w:r>
      <w:proofErr w:type="spellEnd"/>
      <w:r>
        <w:rPr>
          <w:rFonts w:ascii="Arial" w:eastAsia="Arial" w:hAnsi="Arial" w:cs="Arial"/>
          <w:sz w:val="24"/>
          <w:szCs w:val="24"/>
        </w:rPr>
        <w:t xml:space="preserve"> confinement follows from the geometry of causal ordering in four dimensions — without invoking QCD dynamics.</w:t>
      </w:r>
    </w:p>
    <w:p w14:paraId="5C5DD675" w14:textId="77777777" w:rsidR="004C1346" w:rsidRDefault="00000000">
      <w:pPr>
        <w:pStyle w:val="ListParagraph"/>
        <w:numPr>
          <w:ilvl w:val="0"/>
          <w:numId w:val="2"/>
        </w:numPr>
        <w:spacing w:after="240"/>
      </w:pPr>
      <w:r>
        <w:rPr>
          <w:rFonts w:ascii="Arial" w:eastAsia="Arial" w:hAnsi="Arial" w:cs="Arial"/>
          <w:b/>
          <w:bCs/>
          <w:sz w:val="24"/>
          <w:szCs w:val="24"/>
        </w:rPr>
        <w:t xml:space="preserve">Closure theorem — </w:t>
      </w:r>
      <w:r>
        <w:rPr>
          <w:rFonts w:ascii="Arial" w:eastAsia="Arial" w:hAnsi="Arial" w:cs="Arial"/>
          <w:sz w:val="24"/>
          <w:szCs w:val="24"/>
        </w:rPr>
        <w:t>124 BDG extension cases exhaustively verified in Lean 4; the Standard Model particle universe admits no new topology types from any local causal graph extension.</w:t>
      </w:r>
    </w:p>
    <w:p w14:paraId="16F93806" w14:textId="77777777" w:rsidR="004C1346" w:rsidRDefault="00000000">
      <w:pPr>
        <w:spacing w:after="160"/>
      </w:pPr>
      <w:r>
        <w:rPr>
          <w:rFonts w:ascii="Arial" w:eastAsia="Arial" w:hAnsi="Arial" w:cs="Arial"/>
          <w:sz w:val="24"/>
          <w:szCs w:val="24"/>
        </w:rPr>
        <w:t xml:space="preserve">The Lean 4 proof file </w:t>
      </w:r>
      <w:r>
        <w:rPr>
          <w:rFonts w:ascii="Arial" w:eastAsia="Arial" w:hAnsi="Arial" w:cs="Arial"/>
          <w:b/>
          <w:bCs/>
          <w:sz w:val="24"/>
          <w:szCs w:val="24"/>
        </w:rPr>
        <w:t>RA_D1_Proofs.lean</w:t>
      </w:r>
      <w:r>
        <w:rPr>
          <w:rFonts w:ascii="Arial" w:eastAsia="Arial" w:hAnsi="Arial" w:cs="Arial"/>
          <w:sz w:val="24"/>
          <w:szCs w:val="24"/>
        </w:rPr>
        <w:t xml:space="preserve"> contains </w:t>
      </w:r>
      <w:r>
        <w:rPr>
          <w:rFonts w:ascii="Arial" w:eastAsia="Arial" w:hAnsi="Arial" w:cs="Arial"/>
          <w:b/>
          <w:bCs/>
          <w:sz w:val="24"/>
          <w:szCs w:val="24"/>
        </w:rPr>
        <w:t>75 results (64 theorems, 11 lemmas)</w:t>
      </w:r>
      <w:r>
        <w:rPr>
          <w:rFonts w:ascii="Arial" w:eastAsia="Arial" w:hAnsi="Arial" w:cs="Arial"/>
          <w:sz w:val="24"/>
          <w:szCs w:val="24"/>
        </w:rPr>
        <w:t xml:space="preserve"> with zero </w:t>
      </w:r>
      <w:r>
        <w:rPr>
          <w:rFonts w:ascii="Arial" w:eastAsia="Arial" w:hAnsi="Arial" w:cs="Arial"/>
          <w:i/>
          <w:iCs/>
          <w:sz w:val="24"/>
          <w:szCs w:val="24"/>
        </w:rPr>
        <w:t>sorry</w:t>
      </w:r>
      <w:r>
        <w:rPr>
          <w:rFonts w:ascii="Arial" w:eastAsia="Arial" w:hAnsi="Arial" w:cs="Arial"/>
          <w:sz w:val="24"/>
          <w:szCs w:val="24"/>
        </w:rPr>
        <w:t xml:space="preserve"> tags and no axioms beyond the </w:t>
      </w:r>
      <w:proofErr w:type="spellStart"/>
      <w:r>
        <w:rPr>
          <w:rFonts w:ascii="Arial" w:eastAsia="Arial" w:hAnsi="Arial" w:cs="Arial"/>
          <w:sz w:val="24"/>
          <w:szCs w:val="24"/>
        </w:rPr>
        <w:t>Mathlib</w:t>
      </w:r>
      <w:proofErr w:type="spellEnd"/>
      <w:r>
        <w:rPr>
          <w:rFonts w:ascii="Arial" w:eastAsia="Arial" w:hAnsi="Arial" w:cs="Arial"/>
          <w:sz w:val="24"/>
          <w:szCs w:val="24"/>
        </w:rPr>
        <w:t xml:space="preserve"> standard library. This </w:t>
      </w:r>
      <w:r>
        <w:rPr>
          <w:rFonts w:ascii="Arial" w:eastAsia="Arial" w:hAnsi="Arial" w:cs="Arial"/>
          <w:sz w:val="24"/>
          <w:szCs w:val="24"/>
        </w:rPr>
        <w:lastRenderedPageBreak/>
        <w:t>constitutes the first machine-verified particle classification theorem in the causal set theory literature.</w:t>
      </w:r>
    </w:p>
    <w:p w14:paraId="71E6F8C5" w14:textId="77777777" w:rsidR="004C1346" w:rsidRDefault="00000000">
      <w:pPr>
        <w:spacing w:after="160"/>
      </w:pPr>
      <w:r>
        <w:rPr>
          <w:rFonts w:ascii="Arial" w:eastAsia="Arial" w:hAnsi="Arial" w:cs="Arial"/>
          <w:b/>
          <w:bCs/>
          <w:sz w:val="24"/>
          <w:szCs w:val="24"/>
        </w:rPr>
        <w:t xml:space="preserve">Context within the RA </w:t>
      </w:r>
      <w:proofErr w:type="spellStart"/>
      <w:r>
        <w:rPr>
          <w:rFonts w:ascii="Arial" w:eastAsia="Arial" w:hAnsi="Arial" w:cs="Arial"/>
          <w:b/>
          <w:bCs/>
          <w:sz w:val="24"/>
          <w:szCs w:val="24"/>
        </w:rPr>
        <w:t>programme</w:t>
      </w:r>
      <w:proofErr w:type="spellEnd"/>
      <w:r>
        <w:rPr>
          <w:rFonts w:ascii="Arial" w:eastAsia="Arial" w:hAnsi="Arial" w:cs="Arial"/>
          <w:b/>
          <w:bCs/>
          <w:sz w:val="24"/>
          <w:szCs w:val="24"/>
        </w:rPr>
        <w:t>.</w:t>
      </w:r>
      <w:r>
        <w:rPr>
          <w:rFonts w:ascii="Arial" w:eastAsia="Arial" w:hAnsi="Arial" w:cs="Arial"/>
          <w:sz w:val="24"/>
          <w:szCs w:val="24"/>
        </w:rPr>
        <w:t xml:space="preserve"> This paper is a companion to </w:t>
      </w:r>
      <w:r>
        <w:rPr>
          <w:rFonts w:ascii="Arial" w:eastAsia="Arial" w:hAnsi="Arial" w:cs="Arial"/>
          <w:i/>
          <w:iCs/>
          <w:sz w:val="24"/>
          <w:szCs w:val="24"/>
        </w:rPr>
        <w:t>Relational Actualism and the Standard Model</w:t>
      </w:r>
      <w:r>
        <w:rPr>
          <w:rFonts w:ascii="Arial" w:eastAsia="Arial" w:hAnsi="Arial" w:cs="Arial"/>
          <w:sz w:val="24"/>
          <w:szCs w:val="24"/>
        </w:rPr>
        <w:t xml:space="preserve"> (RASM, </w:t>
      </w:r>
      <w:proofErr w:type="spellStart"/>
      <w:r>
        <w:rPr>
          <w:rFonts w:ascii="Arial" w:eastAsia="Arial" w:hAnsi="Arial" w:cs="Arial"/>
          <w:sz w:val="24"/>
          <w:szCs w:val="24"/>
        </w:rPr>
        <w:t>Zenodo</w:t>
      </w:r>
      <w:proofErr w:type="spellEnd"/>
      <w:r>
        <w:rPr>
          <w:rFonts w:ascii="Arial" w:eastAsia="Arial" w:hAnsi="Arial" w:cs="Arial"/>
          <w:sz w:val="24"/>
          <w:szCs w:val="24"/>
        </w:rPr>
        <w:t xml:space="preserve"> doi:10.5281/zenodo.19229335), which derives the full Standard Model gauge structure and Koide lepton mass formula from BDG degrees of freedom. RATM provides the Lean-verified combinatorial foundation for the particle classification claims in RASM. The broader </w:t>
      </w:r>
      <w:proofErr w:type="spellStart"/>
      <w:r>
        <w:rPr>
          <w:rFonts w:ascii="Arial" w:eastAsia="Arial" w:hAnsi="Arial" w:cs="Arial"/>
          <w:sz w:val="24"/>
          <w:szCs w:val="24"/>
        </w:rPr>
        <w:t>programme</w:t>
      </w:r>
      <w:proofErr w:type="spellEnd"/>
      <w:r>
        <w:rPr>
          <w:rFonts w:ascii="Arial" w:eastAsia="Arial" w:hAnsi="Arial" w:cs="Arial"/>
          <w:sz w:val="24"/>
          <w:szCs w:val="24"/>
        </w:rPr>
        <w:t xml:space="preserve"> also includes </w:t>
      </w:r>
      <w:r>
        <w:rPr>
          <w:rFonts w:ascii="Arial" w:eastAsia="Arial" w:hAnsi="Arial" w:cs="Arial"/>
          <w:i/>
          <w:iCs/>
          <w:sz w:val="24"/>
          <w:szCs w:val="24"/>
        </w:rPr>
        <w:t>The Einstein Field Equations as the Unique Macroscopic Limit of the Actualization Graph</w:t>
      </w:r>
      <w:r>
        <w:rPr>
          <w:rFonts w:ascii="Arial" w:eastAsia="Arial" w:hAnsi="Arial" w:cs="Arial"/>
          <w:sz w:val="24"/>
          <w:szCs w:val="24"/>
        </w:rPr>
        <w:t xml:space="preserve"> (RACL), concurrently under review at </w:t>
      </w:r>
      <w:r>
        <w:rPr>
          <w:rFonts w:ascii="Arial" w:eastAsia="Arial" w:hAnsi="Arial" w:cs="Arial"/>
          <w:i/>
          <w:iCs/>
          <w:sz w:val="24"/>
          <w:szCs w:val="24"/>
        </w:rPr>
        <w:t>Classical and Quantum Gravity</w:t>
      </w:r>
      <w:r>
        <w:rPr>
          <w:rFonts w:ascii="Arial" w:eastAsia="Arial" w:hAnsi="Arial" w:cs="Arial"/>
          <w:sz w:val="24"/>
          <w:szCs w:val="24"/>
        </w:rPr>
        <w:t xml:space="preserve">, which proves </w:t>
      </w:r>
      <w:proofErr w:type="spellStart"/>
      <w:r>
        <w:rPr>
          <w:rFonts w:ascii="Arial" w:eastAsia="Arial" w:hAnsi="Arial" w:cs="Arial"/>
          <w:sz w:val="24"/>
          <w:szCs w:val="24"/>
        </w:rPr>
        <w:t>Gμν</w:t>
      </w:r>
      <w:proofErr w:type="spellEnd"/>
      <w:r>
        <w:rPr>
          <w:rFonts w:ascii="Arial" w:eastAsia="Arial" w:hAnsi="Arial" w:cs="Arial"/>
          <w:sz w:val="24"/>
          <w:szCs w:val="24"/>
        </w:rPr>
        <w:t xml:space="preserve"> = 8πG </w:t>
      </w:r>
      <w:proofErr w:type="spellStart"/>
      <w:r>
        <w:rPr>
          <w:rFonts w:ascii="Arial" w:eastAsia="Arial" w:hAnsi="Arial" w:cs="Arial"/>
          <w:sz w:val="24"/>
          <w:szCs w:val="24"/>
        </w:rPr>
        <w:t>P_act</w:t>
      </w:r>
      <w:proofErr w:type="spellEnd"/>
      <w:r>
        <w:rPr>
          <w:rFonts w:ascii="Arial" w:eastAsia="Arial" w:hAnsi="Arial" w:cs="Arial"/>
          <w:sz w:val="24"/>
          <w:szCs w:val="24"/>
        </w:rPr>
        <w:t>[</w:t>
      </w:r>
      <w:proofErr w:type="spellStart"/>
      <w:r>
        <w:rPr>
          <w:rFonts w:ascii="Arial" w:eastAsia="Arial" w:hAnsi="Arial" w:cs="Arial"/>
          <w:sz w:val="24"/>
          <w:szCs w:val="24"/>
        </w:rPr>
        <w:t>Tμν</w:t>
      </w:r>
      <w:proofErr w:type="spellEnd"/>
      <w:r>
        <w:rPr>
          <w:rFonts w:ascii="Arial" w:eastAsia="Arial" w:hAnsi="Arial" w:cs="Arial"/>
          <w:sz w:val="24"/>
          <w:szCs w:val="24"/>
        </w:rPr>
        <w:t>] with Λ = 0 from the same causal graph framework.</w:t>
      </w:r>
    </w:p>
    <w:p w14:paraId="44E29F6B" w14:textId="77777777" w:rsidR="004C1346" w:rsidRDefault="00000000">
      <w:pPr>
        <w:spacing w:after="160"/>
      </w:pPr>
      <w:r>
        <w:rPr>
          <w:rFonts w:ascii="Arial" w:eastAsia="Arial" w:hAnsi="Arial" w:cs="Arial"/>
          <w:b/>
          <w:bCs/>
          <w:sz w:val="24"/>
          <w:szCs w:val="24"/>
        </w:rPr>
        <w:t>Suggested reviewers.</w:t>
      </w:r>
      <w:r>
        <w:rPr>
          <w:rFonts w:ascii="Arial" w:eastAsia="Arial" w:hAnsi="Arial" w:cs="Arial"/>
          <w:sz w:val="24"/>
          <w:szCs w:val="24"/>
        </w:rPr>
        <w:t xml:space="preserve"> Referees with expertise in causal set particle models, BDG actions, or formal verification in mathematical physics would be well-positioned to evaluate this work:</w:t>
      </w:r>
    </w:p>
    <w:p w14:paraId="450A9D78" w14:textId="77777777" w:rsidR="004C1346" w:rsidRDefault="00000000">
      <w:pPr>
        <w:pStyle w:val="ListParagraph"/>
        <w:numPr>
          <w:ilvl w:val="0"/>
          <w:numId w:val="3"/>
        </w:numPr>
        <w:spacing w:after="80"/>
      </w:pPr>
      <w:r>
        <w:rPr>
          <w:rFonts w:ascii="Arial" w:eastAsia="Arial" w:hAnsi="Arial" w:cs="Arial"/>
          <w:sz w:val="24"/>
          <w:szCs w:val="24"/>
        </w:rPr>
        <w:t>Fay Dowker (f.dowker@imperial.ac.uk), Department of Physics, Imperial College London — causal sets, BDG action</w:t>
      </w:r>
    </w:p>
    <w:p w14:paraId="4347D704" w14:textId="77777777" w:rsidR="004C1346" w:rsidRDefault="00000000">
      <w:pPr>
        <w:pStyle w:val="ListParagraph"/>
        <w:numPr>
          <w:ilvl w:val="0"/>
          <w:numId w:val="3"/>
        </w:numPr>
        <w:spacing w:after="80"/>
      </w:pPr>
      <w:r>
        <w:rPr>
          <w:rFonts w:ascii="Arial" w:eastAsia="Arial" w:hAnsi="Arial" w:cs="Arial"/>
          <w:sz w:val="24"/>
          <w:szCs w:val="24"/>
        </w:rPr>
        <w:t>Sumati Surya (ssurya@rrimail.rri.res.in), Raman Research Institute, Bengaluru — causal set quantum gravity, BDG dynamics</w:t>
      </w:r>
    </w:p>
    <w:p w14:paraId="361086CD" w14:textId="77777777" w:rsidR="004C1346" w:rsidRDefault="00000000">
      <w:pPr>
        <w:pStyle w:val="ListParagraph"/>
        <w:numPr>
          <w:ilvl w:val="0"/>
          <w:numId w:val="3"/>
        </w:numPr>
        <w:spacing w:after="80"/>
      </w:pPr>
      <w:r>
        <w:rPr>
          <w:rFonts w:ascii="Arial" w:eastAsia="Arial" w:hAnsi="Arial" w:cs="Arial"/>
          <w:sz w:val="24"/>
          <w:szCs w:val="24"/>
        </w:rPr>
        <w:t>Seth Major (smajor@hamilton.edu), Department of Physics, Hamilton College — causal sets, particle models</w:t>
      </w:r>
    </w:p>
    <w:p w14:paraId="331031DA" w14:textId="77777777" w:rsidR="004C1346" w:rsidRDefault="00000000">
      <w:pPr>
        <w:pStyle w:val="ListParagraph"/>
        <w:numPr>
          <w:ilvl w:val="0"/>
          <w:numId w:val="3"/>
        </w:numPr>
        <w:spacing w:after="240"/>
      </w:pPr>
      <w:r>
        <w:rPr>
          <w:rFonts w:ascii="Arial" w:eastAsia="Arial" w:hAnsi="Arial" w:cs="Arial"/>
          <w:sz w:val="24"/>
          <w:szCs w:val="24"/>
        </w:rPr>
        <w:t>Sundance Bilson-Thompson (sundance.bilson-thompson@adelaide.edu.au), University of Adelaide — topological particle classification in quantum gravity</w:t>
      </w:r>
    </w:p>
    <w:p w14:paraId="0F5547B3" w14:textId="77777777" w:rsidR="004C1346" w:rsidRDefault="00000000">
      <w:pPr>
        <w:spacing w:after="160"/>
      </w:pPr>
      <w:proofErr w:type="spellStart"/>
      <w:r>
        <w:rPr>
          <w:rFonts w:ascii="Arial" w:eastAsia="Arial" w:hAnsi="Arial" w:cs="Arial"/>
          <w:b/>
          <w:bCs/>
          <w:sz w:val="24"/>
          <w:szCs w:val="24"/>
        </w:rPr>
        <w:t>PhySH</w:t>
      </w:r>
      <w:proofErr w:type="spellEnd"/>
      <w:r>
        <w:rPr>
          <w:rFonts w:ascii="Arial" w:eastAsia="Arial" w:hAnsi="Arial" w:cs="Arial"/>
          <w:b/>
          <w:bCs/>
          <w:sz w:val="24"/>
          <w:szCs w:val="24"/>
        </w:rPr>
        <w:t xml:space="preserve"> classification.</w:t>
      </w:r>
      <w:r>
        <w:rPr>
          <w:rFonts w:ascii="Arial" w:eastAsia="Arial" w:hAnsi="Arial" w:cs="Arial"/>
          <w:sz w:val="24"/>
          <w:szCs w:val="24"/>
        </w:rPr>
        <w:t xml:space="preserve"> Primary: Causal set theory. Secondary: Standard Model of particle physics, Formal verification, Quantum gravity.</w:t>
      </w:r>
    </w:p>
    <w:p w14:paraId="55AC46CA" w14:textId="77777777" w:rsidR="004C1346" w:rsidRDefault="00000000">
      <w:pPr>
        <w:spacing w:after="160"/>
      </w:pPr>
      <w:r>
        <w:rPr>
          <w:rFonts w:ascii="Arial" w:eastAsia="Arial" w:hAnsi="Arial" w:cs="Arial"/>
          <w:b/>
          <w:bCs/>
          <w:sz w:val="24"/>
          <w:szCs w:val="24"/>
        </w:rPr>
        <w:t>Preprint.</w:t>
      </w:r>
      <w:r>
        <w:rPr>
          <w:rFonts w:ascii="Arial" w:eastAsia="Arial" w:hAnsi="Arial" w:cs="Arial"/>
          <w:sz w:val="24"/>
          <w:szCs w:val="24"/>
        </w:rPr>
        <w:t xml:space="preserve"> A preprint is available at doi:10.5281/zenodo.19265651. The manuscript has not been submitted to any other peer-reviewed journal and is not under consideration elsewhere.</w:t>
      </w:r>
    </w:p>
    <w:p w14:paraId="4D248607" w14:textId="77777777" w:rsidR="004C1346" w:rsidRDefault="00000000">
      <w:pPr>
        <w:spacing w:after="160"/>
      </w:pPr>
      <w:r>
        <w:rPr>
          <w:rFonts w:ascii="Arial" w:eastAsia="Arial" w:hAnsi="Arial" w:cs="Arial"/>
          <w:sz w:val="24"/>
          <w:szCs w:val="24"/>
        </w:rPr>
        <w:t>I am grateful for your consideration.</w:t>
      </w:r>
    </w:p>
    <w:p w14:paraId="0D36A1CC" w14:textId="77777777" w:rsidR="004C1346" w:rsidRDefault="00000000">
      <w:pPr>
        <w:spacing w:after="320"/>
      </w:pPr>
      <w:r>
        <w:rPr>
          <w:rFonts w:ascii="Arial" w:eastAsia="Arial" w:hAnsi="Arial" w:cs="Arial"/>
          <w:sz w:val="24"/>
          <w:szCs w:val="24"/>
        </w:rPr>
        <w:t>Yours sincerely,</w:t>
      </w:r>
    </w:p>
    <w:p w14:paraId="03E9CE21" w14:textId="77777777" w:rsidR="004C1346" w:rsidRDefault="00000000">
      <w:pPr>
        <w:spacing w:after="80"/>
      </w:pPr>
      <w:r>
        <w:rPr>
          <w:rFonts w:ascii="Arial" w:eastAsia="Arial" w:hAnsi="Arial" w:cs="Arial"/>
          <w:sz w:val="24"/>
          <w:szCs w:val="24"/>
        </w:rPr>
        <w:t>Joshua F. Sandeman</w:t>
      </w:r>
    </w:p>
    <w:p w14:paraId="3B957240" w14:textId="77777777" w:rsidR="004C1346" w:rsidRDefault="00000000">
      <w:pPr>
        <w:spacing w:after="80"/>
      </w:pPr>
      <w:r>
        <w:rPr>
          <w:rFonts w:ascii="Arial" w:eastAsia="Arial" w:hAnsi="Arial" w:cs="Arial"/>
          <w:sz w:val="24"/>
          <w:szCs w:val="24"/>
        </w:rPr>
        <w:t>Independent Researcher, Salem, Oregon</w:t>
      </w:r>
    </w:p>
    <w:p w14:paraId="6F4CC5CF" w14:textId="77777777" w:rsidR="004C1346" w:rsidRDefault="00000000">
      <w:r>
        <w:rPr>
          <w:rFonts w:ascii="Arial" w:eastAsia="Arial" w:hAnsi="Arial" w:cs="Arial"/>
          <w:sz w:val="24"/>
          <w:szCs w:val="24"/>
        </w:rPr>
        <w:t>sansuikyo@gmail.com</w:t>
      </w:r>
    </w:p>
    <w:sectPr w:rsidR="004C13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56F"/>
    <w:multiLevelType w:val="hybridMultilevel"/>
    <w:tmpl w:val="F41EAC82"/>
    <w:lvl w:ilvl="0" w:tplc="8BB89A78">
      <w:start w:val="1"/>
      <w:numFmt w:val="bullet"/>
      <w:lvlText w:val="●"/>
      <w:lvlJc w:val="left"/>
      <w:pPr>
        <w:ind w:left="720" w:hanging="360"/>
      </w:pPr>
    </w:lvl>
    <w:lvl w:ilvl="1" w:tplc="992488F6">
      <w:start w:val="1"/>
      <w:numFmt w:val="bullet"/>
      <w:lvlText w:val="○"/>
      <w:lvlJc w:val="left"/>
      <w:pPr>
        <w:ind w:left="1440" w:hanging="360"/>
      </w:pPr>
    </w:lvl>
    <w:lvl w:ilvl="2" w:tplc="B352C202">
      <w:start w:val="1"/>
      <w:numFmt w:val="bullet"/>
      <w:lvlText w:val="■"/>
      <w:lvlJc w:val="left"/>
      <w:pPr>
        <w:ind w:left="2160" w:hanging="360"/>
      </w:pPr>
    </w:lvl>
    <w:lvl w:ilvl="3" w:tplc="414A2A84">
      <w:start w:val="1"/>
      <w:numFmt w:val="bullet"/>
      <w:lvlText w:val="●"/>
      <w:lvlJc w:val="left"/>
      <w:pPr>
        <w:ind w:left="2880" w:hanging="360"/>
      </w:pPr>
    </w:lvl>
    <w:lvl w:ilvl="4" w:tplc="7AAED0D4">
      <w:start w:val="1"/>
      <w:numFmt w:val="bullet"/>
      <w:lvlText w:val="○"/>
      <w:lvlJc w:val="left"/>
      <w:pPr>
        <w:ind w:left="3600" w:hanging="360"/>
      </w:pPr>
    </w:lvl>
    <w:lvl w:ilvl="5" w:tplc="1472A8E0">
      <w:start w:val="1"/>
      <w:numFmt w:val="bullet"/>
      <w:lvlText w:val="■"/>
      <w:lvlJc w:val="left"/>
      <w:pPr>
        <w:ind w:left="4320" w:hanging="360"/>
      </w:pPr>
    </w:lvl>
    <w:lvl w:ilvl="6" w:tplc="424A9964">
      <w:start w:val="1"/>
      <w:numFmt w:val="bullet"/>
      <w:lvlText w:val="●"/>
      <w:lvlJc w:val="left"/>
      <w:pPr>
        <w:ind w:left="5040" w:hanging="360"/>
      </w:pPr>
    </w:lvl>
    <w:lvl w:ilvl="7" w:tplc="29C4C542">
      <w:start w:val="1"/>
      <w:numFmt w:val="bullet"/>
      <w:lvlText w:val="●"/>
      <w:lvlJc w:val="left"/>
      <w:pPr>
        <w:ind w:left="5760" w:hanging="360"/>
      </w:pPr>
    </w:lvl>
    <w:lvl w:ilvl="8" w:tplc="10A013BE">
      <w:start w:val="1"/>
      <w:numFmt w:val="bullet"/>
      <w:lvlText w:val="●"/>
      <w:lvlJc w:val="left"/>
      <w:pPr>
        <w:ind w:left="6480" w:hanging="360"/>
      </w:pPr>
    </w:lvl>
  </w:abstractNum>
  <w:abstractNum w:abstractNumId="1" w15:restartNumberingAfterBreak="0">
    <w:nsid w:val="1C0B18F1"/>
    <w:multiLevelType w:val="hybridMultilevel"/>
    <w:tmpl w:val="FB5EE5DE"/>
    <w:lvl w:ilvl="0" w:tplc="13C84E7C">
      <w:start w:val="1"/>
      <w:numFmt w:val="bullet"/>
      <w:lvlText w:val="•"/>
      <w:lvlJc w:val="left"/>
      <w:pPr>
        <w:ind w:left="720" w:hanging="360"/>
      </w:pPr>
    </w:lvl>
    <w:lvl w:ilvl="1" w:tplc="7FC4F452">
      <w:numFmt w:val="decimal"/>
      <w:lvlText w:val=""/>
      <w:lvlJc w:val="left"/>
    </w:lvl>
    <w:lvl w:ilvl="2" w:tplc="78EC8086">
      <w:numFmt w:val="decimal"/>
      <w:lvlText w:val=""/>
      <w:lvlJc w:val="left"/>
    </w:lvl>
    <w:lvl w:ilvl="3" w:tplc="1F263862">
      <w:numFmt w:val="decimal"/>
      <w:lvlText w:val=""/>
      <w:lvlJc w:val="left"/>
    </w:lvl>
    <w:lvl w:ilvl="4" w:tplc="96C80DF6">
      <w:numFmt w:val="decimal"/>
      <w:lvlText w:val=""/>
      <w:lvlJc w:val="left"/>
    </w:lvl>
    <w:lvl w:ilvl="5" w:tplc="DFD8EB6E">
      <w:numFmt w:val="decimal"/>
      <w:lvlText w:val=""/>
      <w:lvlJc w:val="left"/>
    </w:lvl>
    <w:lvl w:ilvl="6" w:tplc="8E54D2BA">
      <w:numFmt w:val="decimal"/>
      <w:lvlText w:val=""/>
      <w:lvlJc w:val="left"/>
    </w:lvl>
    <w:lvl w:ilvl="7" w:tplc="D160FABE">
      <w:numFmt w:val="decimal"/>
      <w:lvlText w:val=""/>
      <w:lvlJc w:val="left"/>
    </w:lvl>
    <w:lvl w:ilvl="8" w:tplc="18A852FC">
      <w:numFmt w:val="decimal"/>
      <w:lvlText w:val=""/>
      <w:lvlJc w:val="left"/>
    </w:lvl>
  </w:abstractNum>
  <w:abstractNum w:abstractNumId="2" w15:restartNumberingAfterBreak="0">
    <w:nsid w:val="7F0E089C"/>
    <w:multiLevelType w:val="hybridMultilevel"/>
    <w:tmpl w:val="F4724F02"/>
    <w:lvl w:ilvl="0" w:tplc="9450325C">
      <w:start w:val="1"/>
      <w:numFmt w:val="decimal"/>
      <w:lvlText w:val="%1."/>
      <w:lvlJc w:val="left"/>
      <w:pPr>
        <w:ind w:left="720" w:hanging="360"/>
      </w:pPr>
    </w:lvl>
    <w:lvl w:ilvl="1" w:tplc="43E65384">
      <w:numFmt w:val="decimal"/>
      <w:lvlText w:val=""/>
      <w:lvlJc w:val="left"/>
    </w:lvl>
    <w:lvl w:ilvl="2" w:tplc="6876D538">
      <w:numFmt w:val="decimal"/>
      <w:lvlText w:val=""/>
      <w:lvlJc w:val="left"/>
    </w:lvl>
    <w:lvl w:ilvl="3" w:tplc="73DE8AB4">
      <w:numFmt w:val="decimal"/>
      <w:lvlText w:val=""/>
      <w:lvlJc w:val="left"/>
    </w:lvl>
    <w:lvl w:ilvl="4" w:tplc="9CAA91C0">
      <w:numFmt w:val="decimal"/>
      <w:lvlText w:val=""/>
      <w:lvlJc w:val="left"/>
    </w:lvl>
    <w:lvl w:ilvl="5" w:tplc="FF0AD606">
      <w:numFmt w:val="decimal"/>
      <w:lvlText w:val=""/>
      <w:lvlJc w:val="left"/>
    </w:lvl>
    <w:lvl w:ilvl="6" w:tplc="561A8C9A">
      <w:numFmt w:val="decimal"/>
      <w:lvlText w:val=""/>
      <w:lvlJc w:val="left"/>
    </w:lvl>
    <w:lvl w:ilvl="7" w:tplc="6C3A6892">
      <w:numFmt w:val="decimal"/>
      <w:lvlText w:val=""/>
      <w:lvlJc w:val="left"/>
    </w:lvl>
    <w:lvl w:ilvl="8" w:tplc="43B2536C">
      <w:numFmt w:val="decimal"/>
      <w:lvlText w:val=""/>
      <w:lvlJc w:val="left"/>
    </w:lvl>
  </w:abstractNum>
  <w:num w:numId="1" w16cid:durableId="61413171">
    <w:abstractNumId w:val="0"/>
    <w:lvlOverride w:ilvl="0">
      <w:startOverride w:val="1"/>
    </w:lvlOverride>
  </w:num>
  <w:num w:numId="2" w16cid:durableId="852769279">
    <w:abstractNumId w:val="2"/>
    <w:lvlOverride w:ilvl="0">
      <w:startOverride w:val="1"/>
    </w:lvlOverride>
  </w:num>
  <w:num w:numId="3" w16cid:durableId="189144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346"/>
    <w:rsid w:val="002C53A7"/>
    <w:rsid w:val="004C1346"/>
    <w:rsid w:val="00774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2D608E"/>
  <w15:docId w15:val="{8CB5707B-E630-1640-BE8D-C28D47A0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3480</Characters>
  <Application>Microsoft Office Word</Application>
  <DocSecurity>0</DocSecurity>
  <Lines>68</Lines>
  <Paragraphs>28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Sandeman</cp:lastModifiedBy>
  <cp:revision>2</cp:revision>
  <dcterms:created xsi:type="dcterms:W3CDTF">2026-03-29T15:07:00Z</dcterms:created>
  <dcterms:modified xsi:type="dcterms:W3CDTF">2026-03-29T15:07:00Z</dcterms:modified>
</cp:coreProperties>
</file>