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300"/>
        <w:jc w:val="center"/>
      </w:pPr>
      <w:r>
        <w:rPr>
          <w:b/>
          <w:bCs/>
          <w:color w:val="1F4E79"/>
          <w:sz w:val="40"/>
          <w:szCs w:val="40"/>
        </w:rPr>
        <w:t xml:space="preserve">CLASE 08</w:t>
      </w:r>
    </w:p>
    <w:p>
      <w:pPr>
        <w:spacing w:after="160"/>
        <w:jc w:val="center"/>
      </w:pPr>
      <w:r>
        <w:rPr>
          <w:b/>
          <w:bCs/>
          <w:sz w:val="27"/>
          <w:szCs w:val="27"/>
        </w:rPr>
        <w:t xml:space="preserve">Estándares Modernos: HL7 FHIR y APIs</w:t>
      </w:r>
    </w:p>
    <w:p>
      <w:pPr>
        <w:spacing w:after="40"/>
        <w:jc w:val="center"/>
      </w:pPr>
      <w:r>
        <w:rPr>
          <w:sz w:val="20"/>
          <w:szCs w:val="20"/>
        </w:rPr>
        <w:t xml:space="preserve">Informática Médica (IFMER) 2026-II — Corte 2</w:t>
      </w:r>
    </w:p>
    <w:p>
      <w:pPr>
        <w:spacing w:after="300"/>
        <w:jc w:val="center"/>
      </w:pPr>
      <w:r>
        <w:rPr>
          <w:i/>
          <w:iCs/>
          <w:sz w:val="20"/>
          <w:szCs w:val="20"/>
        </w:rPr>
        <w:t xml:space="preserve">Prof. Jefferson Sarmiento Rojas — Universidad del Rosario, EMCS</w:t>
      </w:r>
    </w:p>
    <w:p>
      <w:pPr>
        <w:pStyle w:val="Heading1"/>
        <w:spacing w:after="160" w:before="340"/>
      </w:pPr>
      <w:r>
        <w:rPr>
          <w:b/>
          <w:bCs/>
          <w:color w:val="1F4E79"/>
          <w:sz w:val="28"/>
          <w:szCs w:val="28"/>
        </w:rPr>
        <w:t xml:space="preserve">🎯 Objetivos de la clase</w:t>
      </w:r>
    </w:p>
    <w:p>
      <w:pPr>
        <w:pStyle w:val="ListParagraph"/>
        <w:numPr>
          <w:ilvl w:val="0"/>
          <w:numId w:val="2"/>
        </w:numPr>
        <w:spacing w:after="70"/>
      </w:pPr>
      <w:r>
        <w:rPr>
          <w:sz w:val="22"/>
          <w:szCs w:val="22"/>
        </w:rPr>
        <w:t xml:space="preserve">Explicar qué problema resuelve FHIR y por qué reemplaza al intercambio punto a punto de HL7 v2.</w:t>
      </w:r>
    </w:p>
    <w:p>
      <w:pPr>
        <w:pStyle w:val="ListParagraph"/>
        <w:numPr>
          <w:ilvl w:val="0"/>
          <w:numId w:val="2"/>
        </w:numPr>
        <w:spacing w:after="70"/>
      </w:pPr>
      <w:r>
        <w:rPr>
          <w:sz w:val="22"/>
          <w:szCs w:val="22"/>
        </w:rPr>
        <w:t xml:space="preserve">Reconocer qué es un "recurso" en FHIR y cómo se organiza su información.</w:t>
      </w:r>
    </w:p>
    <w:p>
      <w:pPr>
        <w:pStyle w:val="ListParagraph"/>
        <w:numPr>
          <w:ilvl w:val="0"/>
          <w:numId w:val="2"/>
        </w:numPr>
        <w:spacing w:after="70"/>
      </w:pPr>
      <w:r>
        <w:rPr>
          <w:sz w:val="22"/>
          <w:szCs w:val="22"/>
        </w:rPr>
        <w:t xml:space="preserve">Identificar los elementos del recurso Patient y su tipo de dato.</w:t>
      </w:r>
    </w:p>
    <w:p>
      <w:pPr>
        <w:pStyle w:val="ListParagraph"/>
        <w:numPr>
          <w:ilvl w:val="0"/>
          <w:numId w:val="2"/>
        </w:numPr>
        <w:spacing w:after="70"/>
      </w:pPr>
      <w:r>
        <w:rPr>
          <w:sz w:val="22"/>
          <w:szCs w:val="22"/>
        </w:rPr>
        <w:t xml:space="preserve">Ejecutar operaciones REST básicas (GET, POST) contra un servidor FHIR público de práctica.</w:t>
      </w:r>
    </w:p>
    <w:p>
      <w:pPr>
        <w:pStyle w:val="Heading1"/>
        <w:spacing w:after="160" w:before="340"/>
      </w:pPr>
      <w:r>
        <w:rPr>
          <w:b/>
          <w:bCs/>
          <w:color w:val="1F4E79"/>
          <w:sz w:val="28"/>
          <w:szCs w:val="28"/>
        </w:rPr>
        <w:t xml:space="preserve">1. De los silos de datos a FHIR</w:t>
      </w:r>
    </w:p>
    <w:p>
      <w:pPr>
        <w:spacing w:after="140" w:line="300"/>
      </w:pPr>
      <w:r>
        <w:rPr>
          <w:sz w:val="22"/>
          <w:szCs w:val="22"/>
        </w:rPr>
        <w:t xml:space="preserve">En la Clase 07 vimos que cada sistema de un hospital (historia clínica, laboratorio, radiología, farmacia) suele guardar la información en su propio formato. Cuando dos sistemas necesitan hablar entre sí, alguien tiene que construir una interfaz a la medida — y eso no escala: con 5 sistemas ya se necesitarían hasta 10 interfaces distintas.</w:t>
      </w:r>
    </w:p>
    <w:p>
      <w:pPr>
        <w:spacing w:after="140" w:line="300"/>
      </w:pPr>
      <w:r>
        <w:rPr>
          <w:sz w:val="22"/>
          <w:szCs w:val="22"/>
        </w:rPr>
        <w:t xml:space="preserve">FHIR (Fast Healthcare Interoperability Resources) es el estándar que propone HL7 para resolver esto: en vez de interfaces a la medida, todos los sistemas hablan el mismo "idioma" — los mismos recursos, sobre el mismo protocolo (HTTP/REST), en el mismo formato (JSON o XML).</w:t>
      </w:r>
    </w:p>
    <w:p>
      <w:pPr>
        <w:spacing w:after="200" w:before="120"/>
        <w:jc w:val="center"/>
      </w:pPr>
      <w:r>
        <w:drawing>
          <wp:inline distT="0" distB="0" distL="0" distR="0">
            <wp:extent cx="5905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152775"/>
                    </a:xfrm>
                    <a:prstGeom prst="rect">
                      <a:avLst/>
                    </a:prstGeom>
                  </pic:spPr>
                </pic:pic>
              </a:graphicData>
            </a:graphic>
          </wp:inline>
        </w:drawing>
      </w:r>
    </w:p>
    <w:p>
      <w:pPr>
        <w:pStyle w:val="Heading1"/>
        <w:spacing w:after="160" w:before="340"/>
      </w:pPr>
      <w:r>
        <w:rPr>
          <w:b/>
          <w:bCs/>
          <w:color w:val="1F4E79"/>
          <w:sz w:val="28"/>
          <w:szCs w:val="28"/>
        </w:rPr>
        <w:t xml:space="preserve">2. ¿Qué es un recurso?</w:t>
      </w:r>
    </w:p>
    <w:p>
      <w:pPr>
        <w:spacing w:after="140" w:line="300"/>
      </w:pPr>
      <w:r>
        <w:rPr>
          <w:sz w:val="22"/>
          <w:szCs w:val="22"/>
        </w:rPr>
        <w:t xml:space="preserve">Un recurso es la unidad básica de información en FHIR: un paquete de datos con una estructura definida (qué campos tiene, de qué tipo, cuáles son obligatorios) y un significado clínico claro. Ejemplos: Patient (paciente), Practitioner (profesional de salud), Observation (una medición u observación), Condition (un diagnóstico), Composition (un documento clínico).</w:t>
      </w:r>
    </w:p>
    <w:p>
      <w:pPr>
        <w:spacing w:after="140" w:line="300"/>
      </w:pPr>
      <w:r>
        <w:rPr>
          <w:i/>
          <w:iCs/>
          <w:sz w:val="22"/>
          <w:szCs w:val="22"/>
        </w:rPr>
        <w:t xml:space="preserve">Todos los recursos comparten la misma idea: son objetos con atributos, muy parecido a una clase en programación orientada a objetos. La diferencia es que la "clase" ya viene definida por HL7 — no la inventamos nosotros, la reutilizamos.</w:t>
      </w:r>
    </w:p>
    <w:p>
      <w:pPr>
        <w:pStyle w:val="Heading1"/>
        <w:spacing w:after="160" w:before="340"/>
      </w:pPr>
      <w:r>
        <w:rPr>
          <w:b/>
          <w:bCs/>
          <w:color w:val="1F4E79"/>
          <w:sz w:val="28"/>
          <w:szCs w:val="28"/>
        </w:rPr>
        <w:t xml:space="preserve">3. El recurso Patient: el clásico de FHIR</w:t>
      </w:r>
    </w:p>
    <w:p>
      <w:pPr>
        <w:spacing w:after="140" w:line="300"/>
      </w:pPr>
      <w:r>
        <w:rPr>
          <w:sz w:val="22"/>
          <w:szCs w:val="22"/>
        </w:rPr>
        <w:t xml:space="preserve">Patient es casi siempre el primer recurso que se estudia, porque casi todo lo demás en un sistema de salud gira alrededor de un paciente: una observación pertenece a un paciente, un documento clínico describe a un paciente, una cita es de un paciente.</w:t>
      </w:r>
    </w:p>
    <w:p>
      <w:pPr>
        <w:spacing w:after="200" w:before="120"/>
        <w:jc w:val="center"/>
      </w:pPr>
      <w:r>
        <w:drawing>
          <wp:inline distT="0" distB="0" distL="0" distR="0">
            <wp:extent cx="5905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448050"/>
                    </a:xfrm>
                    <a:prstGeom prst="rect">
                      <a:avLst/>
                    </a:prstGeom>
                  </pic:spPr>
                </pic:pic>
              </a:graphicData>
            </a:graphic>
          </wp:inline>
        </w:drawing>
      </w:r>
    </w:p>
    <w:p>
      <w:pPr>
        <w:spacing w:after="100" w:line="300"/>
      </w:pPr>
      <w:r>
        <w:rPr>
          <w:sz w:val="22"/>
          <w:szCs w:val="22"/>
        </w:rPr>
        <w:t xml:space="preserve">Un mismo recurso Patient puede representarse en JSON o en XML — el contenido es el mismo, solo cambia la sintaxis. Este es un ejemplo en JSON:</w:t>
      </w:r>
    </w:p>
    <w:p>
      <w:pPr>
        <w:shd w:fill="F7F7F7" w:val="clear"/>
        <w:spacing w:after="0" w:line="210"/>
      </w:pPr>
      <w:r>
        <w:rPr>
          <w:rFonts w:ascii="Consolas" w:cs="Consolas" w:eastAsia="Consolas" w:hAnsi="Consolas"/>
          <w:sz w:val="16"/>
          <w:szCs w:val="16"/>
        </w:rPr>
        <w:t xml:space="preserve">{</w:t>
      </w:r>
    </w:p>
    <w:p>
      <w:pPr>
        <w:shd w:fill="F7F7F7" w:val="clear"/>
        <w:spacing w:after="0" w:line="210"/>
      </w:pPr>
      <w:r>
        <w:rPr>
          <w:rFonts w:ascii="Consolas" w:cs="Consolas" w:eastAsia="Consolas" w:hAnsi="Consolas"/>
          <w:sz w:val="16"/>
          <w:szCs w:val="16"/>
        </w:rPr>
        <w:t xml:space="preserve">  "resourceType": "Patient",</w:t>
      </w:r>
    </w:p>
    <w:p>
      <w:pPr>
        <w:shd w:fill="F7F7F7" w:val="clear"/>
        <w:spacing w:after="0" w:line="210"/>
      </w:pPr>
      <w:r>
        <w:rPr>
          <w:rFonts w:ascii="Consolas" w:cs="Consolas" w:eastAsia="Consolas" w:hAnsi="Consolas"/>
          <w:sz w:val="16"/>
          <w:szCs w:val="16"/>
        </w:rPr>
        <w:t xml:space="preserve">  "id": "e0cd7fb6-b2cb-4767-86c2-300c924134de",</w:t>
      </w:r>
    </w:p>
    <w:p>
      <w:pPr>
        <w:shd w:fill="F7F7F7" w:val="clear"/>
        <w:spacing w:after="0" w:line="210"/>
      </w:pPr>
      <w:r>
        <w:rPr>
          <w:rFonts w:ascii="Consolas" w:cs="Consolas" w:eastAsia="Consolas" w:hAnsi="Consolas"/>
          <w:sz w:val="16"/>
          <w:szCs w:val="16"/>
        </w:rPr>
        <w:t xml:space="preserve">  "identifier": [</w:t>
      </w:r>
    </w:p>
    <w:p>
      <w:pPr>
        <w:shd w:fill="F7F7F7" w:val="clear"/>
        <w:spacing w:after="0" w:line="210"/>
      </w:pPr>
      <w:r>
        <w:rPr>
          <w:rFonts w:ascii="Consolas" w:cs="Consolas" w:eastAsia="Consolas" w:hAnsi="Consolas"/>
          <w:sz w:val="16"/>
          <w:szCs w:val="16"/>
        </w:rPr>
        <w:t xml:space="preserve">    {</w:t>
      </w:r>
    </w:p>
    <w:p>
      <w:pPr>
        <w:shd w:fill="F7F7F7" w:val="clear"/>
        <w:spacing w:after="0" w:line="210"/>
      </w:pPr>
      <w:r>
        <w:rPr>
          <w:rFonts w:ascii="Consolas" w:cs="Consolas" w:eastAsia="Consolas" w:hAnsi="Consolas"/>
          <w:sz w:val="16"/>
          <w:szCs w:val="16"/>
        </w:rPr>
        <w:t xml:space="preserve">      "use": "official",</w:t>
      </w:r>
    </w:p>
    <w:p>
      <w:pPr>
        <w:shd w:fill="F7F7F7" w:val="clear"/>
        <w:spacing w:after="0" w:line="210"/>
      </w:pPr>
      <w:r>
        <w:rPr>
          <w:rFonts w:ascii="Consolas" w:cs="Consolas" w:eastAsia="Consolas" w:hAnsi="Consolas"/>
          <w:sz w:val="16"/>
          <w:szCs w:val="16"/>
        </w:rPr>
        <w:t xml:space="preserve">      "system": "https://fhir.minsalud.gov.co/rda/NamingSystem/RNEC",</w:t>
      </w:r>
    </w:p>
    <w:p>
      <w:pPr>
        <w:shd w:fill="F7F7F7" w:val="clear"/>
        <w:spacing w:after="0" w:line="210"/>
      </w:pPr>
      <w:r>
        <w:rPr>
          <w:rFonts w:ascii="Consolas" w:cs="Consolas" w:eastAsia="Consolas" w:hAnsi="Consolas"/>
          <w:sz w:val="16"/>
          <w:szCs w:val="16"/>
        </w:rPr>
        <w:t xml:space="preserve">      "value": "1020304050"</w:t>
      </w:r>
    </w:p>
    <w:p>
      <w:pPr>
        <w:shd w:fill="F7F7F7" w:val="clear"/>
        <w:spacing w:after="0" w:line="210"/>
      </w:pPr>
      <w:r>
        <w:rPr>
          <w:rFonts w:ascii="Consolas" w:cs="Consolas" w:eastAsia="Consolas" w:hAnsi="Consolas"/>
          <w:sz w:val="16"/>
          <w:szCs w:val="16"/>
        </w:rPr>
        <w:t xml:space="preserve">    }</w:t>
      </w:r>
    </w:p>
    <w:p>
      <w:pPr>
        <w:shd w:fill="F7F7F7" w:val="clear"/>
        <w:spacing w:after="0" w:line="210"/>
      </w:pPr>
      <w:r>
        <w:rPr>
          <w:rFonts w:ascii="Consolas" w:cs="Consolas" w:eastAsia="Consolas" w:hAnsi="Consolas"/>
          <w:sz w:val="16"/>
          <w:szCs w:val="16"/>
        </w:rPr>
        <w:t xml:space="preserve">  ],</w:t>
      </w:r>
    </w:p>
    <w:p>
      <w:pPr>
        <w:shd w:fill="F7F7F7" w:val="clear"/>
        <w:spacing w:after="0" w:line="210"/>
      </w:pPr>
      <w:r>
        <w:rPr>
          <w:rFonts w:ascii="Consolas" w:cs="Consolas" w:eastAsia="Consolas" w:hAnsi="Consolas"/>
          <w:sz w:val="16"/>
          <w:szCs w:val="16"/>
        </w:rPr>
        <w:t xml:space="preserve">  "active": true,</w:t>
      </w:r>
    </w:p>
    <w:p>
      <w:pPr>
        <w:shd w:fill="F7F7F7" w:val="clear"/>
        <w:spacing w:after="0" w:line="210"/>
      </w:pPr>
      <w:r>
        <w:rPr>
          <w:rFonts w:ascii="Consolas" w:cs="Consolas" w:eastAsia="Consolas" w:hAnsi="Consolas"/>
          <w:sz w:val="16"/>
          <w:szCs w:val="16"/>
        </w:rPr>
        <w:t xml:space="preserve">  "name": [</w:t>
      </w:r>
    </w:p>
    <w:p>
      <w:pPr>
        <w:shd w:fill="F7F7F7" w:val="clear"/>
        <w:spacing w:after="0" w:line="210"/>
      </w:pPr>
      <w:r>
        <w:rPr>
          <w:rFonts w:ascii="Consolas" w:cs="Consolas" w:eastAsia="Consolas" w:hAnsi="Consolas"/>
          <w:sz w:val="16"/>
          <w:szCs w:val="16"/>
        </w:rPr>
        <w:t xml:space="preserve">    { "use": "official", "family": "Gómez Rivas", "given": ["Laura", "Camila"] }</w:t>
      </w:r>
    </w:p>
    <w:p>
      <w:pPr>
        <w:shd w:fill="F7F7F7" w:val="clear"/>
        <w:spacing w:after="0" w:line="210"/>
      </w:pPr>
      <w:r>
        <w:rPr>
          <w:rFonts w:ascii="Consolas" w:cs="Consolas" w:eastAsia="Consolas" w:hAnsi="Consolas"/>
          <w:sz w:val="16"/>
          <w:szCs w:val="16"/>
        </w:rPr>
        <w:t xml:space="preserve">  ],</w:t>
      </w:r>
    </w:p>
    <w:p>
      <w:pPr>
        <w:shd w:fill="F7F7F7" w:val="clear"/>
        <w:spacing w:after="0" w:line="210"/>
      </w:pPr>
      <w:r>
        <w:rPr>
          <w:rFonts w:ascii="Consolas" w:cs="Consolas" w:eastAsia="Consolas" w:hAnsi="Consolas"/>
          <w:sz w:val="16"/>
          <w:szCs w:val="16"/>
        </w:rPr>
        <w:t xml:space="preserve">  "gender": "female",</w:t>
      </w:r>
    </w:p>
    <w:p>
      <w:pPr>
        <w:shd w:fill="F7F7F7" w:val="clear"/>
        <w:spacing w:after="0" w:line="210"/>
      </w:pPr>
      <w:r>
        <w:rPr>
          <w:rFonts w:ascii="Consolas" w:cs="Consolas" w:eastAsia="Consolas" w:hAnsi="Consolas"/>
          <w:sz w:val="16"/>
          <w:szCs w:val="16"/>
        </w:rPr>
        <w:t xml:space="preserve">  "birthDate": "1995-06-12",</w:t>
      </w:r>
    </w:p>
    <w:p>
      <w:pPr>
        <w:shd w:fill="F7F7F7" w:val="clear"/>
        <w:spacing w:after="0" w:line="210"/>
      </w:pPr>
      <w:r>
        <w:rPr>
          <w:rFonts w:ascii="Consolas" w:cs="Consolas" w:eastAsia="Consolas" w:hAnsi="Consolas"/>
          <w:sz w:val="16"/>
          <w:szCs w:val="16"/>
        </w:rPr>
        <w:t xml:space="preserve">  "telecom": [</w:t>
      </w:r>
    </w:p>
    <w:p>
      <w:pPr>
        <w:shd w:fill="F7F7F7" w:val="clear"/>
        <w:spacing w:after="0" w:line="210"/>
      </w:pPr>
      <w:r>
        <w:rPr>
          <w:rFonts w:ascii="Consolas" w:cs="Consolas" w:eastAsia="Consolas" w:hAnsi="Consolas"/>
          <w:sz w:val="16"/>
          <w:szCs w:val="16"/>
        </w:rPr>
        <w:t xml:space="preserve">    { "system": "phone", "value": "+573001112233", "use": "mobile" }</w:t>
      </w:r>
    </w:p>
    <w:p>
      <w:pPr>
        <w:shd w:fill="F7F7F7" w:val="clear"/>
        <w:spacing w:after="0" w:line="210"/>
      </w:pPr>
      <w:r>
        <w:rPr>
          <w:rFonts w:ascii="Consolas" w:cs="Consolas" w:eastAsia="Consolas" w:hAnsi="Consolas"/>
          <w:sz w:val="16"/>
          <w:szCs w:val="16"/>
        </w:rPr>
        <w:t xml:space="preserve">  ]</w:t>
      </w:r>
    </w:p>
    <w:p>
      <w:pPr>
        <w:shd w:fill="F7F7F7" w:val="clear"/>
        <w:spacing w:after="0" w:line="210"/>
      </w:pPr>
      <w:r>
        <w:rPr>
          <w:rFonts w:ascii="Consolas" w:cs="Consolas" w:eastAsia="Consolas" w:hAnsi="Consolas"/>
          <w:sz w:val="16"/>
          <w:szCs w:val="16"/>
        </w:rPr>
        <w:t xml:space="preserv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shd w:fill="FFF7E6" w:val="clear"/>
            <w:tcMar>
              <w:top w:type="dxa" w:w="140"/>
              <w:left w:type="dxa" w:w="200"/>
              <w:bottom w:type="dxa" w:w="140"/>
              <w:right w:type="dxa" w:w="200"/>
            </w:tcMar>
          </w:tcPr>
          <w:p>
            <w:pPr>
              <w:spacing w:after="80"/>
            </w:pPr>
            <w:r>
              <w:rPr>
                <w:b/>
                <w:bCs/>
                <w:color w:val="8A6414"/>
                <w:sz w:val="21"/>
                <w:szCs w:val="21"/>
              </w:rPr>
              <w:t xml:space="preserve">💡 Para recordar</w:t>
            </w:r>
          </w:p>
          <w:p>
            <w:pPr>
              <w:spacing w:after="40"/>
            </w:pPr>
            <w:r>
              <w:rPr>
                <w:color w:val="8A6414"/>
                <w:sz w:val="20"/>
                <w:szCs w:val="20"/>
              </w:rPr>
              <w:t xml:space="preserve">gender es el sexo administrativo del paciente, con una lista cerrada de 4 valores (male, female, other, unknown) — no es lo mismo que sexo biológico ni identidad de género.</w:t>
            </w:r>
          </w:p>
          <w:p>
            <w:pPr>
              <w:spacing w:after="40"/>
            </w:pPr>
            <w:r>
              <w:rPr>
                <w:color w:val="8A6414"/>
                <w:sz w:val="20"/>
                <w:szCs w:val="20"/>
              </w:rPr>
              <w:t xml:space="preserve">identifier permite guardar varios documentos distintos del mismo paciente (cédula, historia clínica) sin confundirlos, porque cada uno lleva su propio "system" (de dónde viene ese número).</w:t>
            </w:r>
          </w:p>
        </w:tc>
      </w:tr>
    </w:tbl>
    <w:p>
      <w:pPr>
        <w:pStyle w:val="Heading1"/>
        <w:spacing w:after="160" w:before="340"/>
      </w:pPr>
      <w:r>
        <w:rPr>
          <w:b/>
          <w:bCs/>
          <w:color w:val="1F4E79"/>
          <w:sz w:val="28"/>
          <w:szCs w:val="28"/>
        </w:rPr>
        <w:t xml:space="preserve">4. Cómo se accede a un recurso: la API REST</w:t>
      </w:r>
    </w:p>
    <w:p>
      <w:pPr>
        <w:spacing w:after="140" w:line="300"/>
      </w:pPr>
      <w:r>
        <w:rPr>
          <w:sz w:val="22"/>
          <w:szCs w:val="22"/>
        </w:rPr>
        <w:t xml:space="preserve">FHIR define una API REST estándar: cualquier servidor FHIR responde a las mismas operaciones, sin importar qué software use por dentro. Las cuatro operaciones básicas (CRUD) son:</w:t>
      </w:r>
    </w:p>
    <w:p>
      <w:pPr>
        <w:spacing w:after="200" w:before="120"/>
        <w:jc w:val="center"/>
      </w:pPr>
      <w:r>
        <w:drawing>
          <wp:inline distT="0" distB="0" distL="0" distR="0">
            <wp:extent cx="5905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152775"/>
                    </a:xfrm>
                    <a:prstGeom prst="rect">
                      <a:avLst/>
                    </a:prstGeom>
                  </pic:spPr>
                </pic:pic>
              </a:graphicData>
            </a:graphic>
          </wp:inline>
        </w:drawing>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600"/>
      </w:tblGrid>
      <w:tr>
        <w:trPr>
          <w:tblHeader/>
        </w:trPr>
        <w:tc>
          <w:tcPr>
            <w:tcW w:type="dxa" w:w="2200"/>
            <w:shd w:fill="1F4E79" w:val="clear"/>
            <w:tcMar>
              <w:top w:type="dxa" w:w="70"/>
              <w:left w:type="dxa" w:w="100"/>
              <w:bottom w:type="dxa" w:w="70"/>
              <w:right w:type="dxa" w:w="100"/>
            </w:tcMar>
          </w:tcPr>
          <w:p>
            <w:pPr>
              <w:spacing w:after="0" w:line="240"/>
            </w:pPr>
            <w:r>
              <w:rPr>
                <w:b/>
                <w:bCs/>
                <w:color w:val="FFFFFF"/>
                <w:sz w:val="19"/>
                <w:szCs w:val="19"/>
              </w:rPr>
              <w:t xml:space="preserve">Verbo HTTP</w:t>
            </w:r>
          </w:p>
        </w:tc>
        <w:tc>
          <w:tcPr>
            <w:tcW w:type="dxa" w:w="3700"/>
            <w:shd w:fill="1F4E79" w:val="clear"/>
            <w:tcMar>
              <w:top w:type="dxa" w:w="70"/>
              <w:left w:type="dxa" w:w="100"/>
              <w:bottom w:type="dxa" w:w="70"/>
              <w:right w:type="dxa" w:w="100"/>
            </w:tcMar>
          </w:tcPr>
          <w:p>
            <w:pPr>
              <w:spacing w:after="0" w:line="240"/>
            </w:pPr>
            <w:r>
              <w:rPr>
                <w:b/>
                <w:bCs/>
                <w:color w:val="FFFFFF"/>
                <w:sz w:val="19"/>
                <w:szCs w:val="19"/>
              </w:rPr>
              <w:t xml:space="preserve">URL de ejemplo</w:t>
            </w:r>
          </w:p>
        </w:tc>
        <w:tc>
          <w:tcPr>
            <w:tcW w:type="dxa" w:w="3600"/>
            <w:shd w:fill="1F4E79" w:val="clear"/>
            <w:tcMar>
              <w:top w:type="dxa" w:w="70"/>
              <w:left w:type="dxa" w:w="100"/>
              <w:bottom w:type="dxa" w:w="70"/>
              <w:right w:type="dxa" w:w="100"/>
            </w:tcMar>
          </w:tcPr>
          <w:p>
            <w:pPr>
              <w:spacing w:after="0" w:line="240"/>
            </w:pPr>
            <w:r>
              <w:rPr>
                <w:b/>
                <w:bCs/>
                <w:color w:val="FFFFFF"/>
                <w:sz w:val="19"/>
                <w:szCs w:val="19"/>
              </w:rPr>
              <w:t xml:space="preserve">Operación</w:t>
            </w:r>
          </w:p>
        </w:tc>
      </w:tr>
      <w:tr>
        <w:tc>
          <w:tcPr>
            <w:tcW w:type="dxa" w:w="2200"/>
            <w:shd w:fill="FFFFFF" w:val="clear"/>
            <w:tcMar>
              <w:top w:type="dxa" w:w="70"/>
              <w:left w:type="dxa" w:w="100"/>
              <w:bottom w:type="dxa" w:w="70"/>
              <w:right w:type="dxa" w:w="100"/>
            </w:tcMar>
          </w:tcPr>
          <w:p>
            <w:pPr>
              <w:spacing w:after="0" w:line="240"/>
            </w:pPr>
            <w:r>
              <w:rPr>
                <w:sz w:val="19"/>
                <w:szCs w:val="19"/>
              </w:rPr>
              <w:t xml:space="preserve">GET</w:t>
            </w:r>
          </w:p>
        </w:tc>
        <w:tc>
          <w:tcPr>
            <w:tcW w:type="dxa" w:w="3700"/>
            <w:shd w:fill="FFFFFF" w:val="clear"/>
            <w:tcMar>
              <w:top w:type="dxa" w:w="70"/>
              <w:left w:type="dxa" w:w="100"/>
              <w:bottom w:type="dxa" w:w="70"/>
              <w:right w:type="dxa" w:w="100"/>
            </w:tcMar>
          </w:tcPr>
          <w:p>
            <w:pPr>
              <w:spacing w:after="0" w:line="240"/>
            </w:pPr>
            <w:r>
              <w:rPr>
                <w:rFonts w:ascii="Consolas" w:cs="Consolas" w:eastAsia="Consolas" w:hAnsi="Consolas"/>
                <w:sz w:val="19"/>
                <w:szCs w:val="19"/>
              </w:rPr>
              <w:t xml:space="preserve">/Patient/123</w:t>
            </w:r>
          </w:p>
        </w:tc>
        <w:tc>
          <w:tcPr>
            <w:tcW w:type="dxa" w:w="3600"/>
            <w:shd w:fill="FFFFFF" w:val="clear"/>
            <w:tcMar>
              <w:top w:type="dxa" w:w="70"/>
              <w:left w:type="dxa" w:w="100"/>
              <w:bottom w:type="dxa" w:w="70"/>
              <w:right w:type="dxa" w:w="100"/>
            </w:tcMar>
          </w:tcPr>
          <w:p>
            <w:pPr>
              <w:spacing w:after="0" w:line="240"/>
            </w:pPr>
            <w:r>
              <w:rPr>
                <w:sz w:val="19"/>
                <w:szCs w:val="19"/>
              </w:rPr>
              <w:t xml:space="preserve">Leer (Read) un paciente por su id</w:t>
            </w:r>
          </w:p>
        </w:tc>
      </w:tr>
      <w:tr>
        <w:tc>
          <w:tcPr>
            <w:tcW w:type="dxa" w:w="2200"/>
            <w:shd w:fill="F2F2F2" w:val="clear"/>
            <w:tcMar>
              <w:top w:type="dxa" w:w="70"/>
              <w:left w:type="dxa" w:w="100"/>
              <w:bottom w:type="dxa" w:w="70"/>
              <w:right w:type="dxa" w:w="100"/>
            </w:tcMar>
          </w:tcPr>
          <w:p>
            <w:pPr>
              <w:spacing w:after="0" w:line="240"/>
            </w:pPr>
            <w:r>
              <w:rPr>
                <w:sz w:val="19"/>
                <w:szCs w:val="19"/>
              </w:rPr>
              <w:t xml:space="preserve">GET</w:t>
            </w:r>
          </w:p>
        </w:tc>
        <w:tc>
          <w:tcPr>
            <w:tcW w:type="dxa" w:w="3700"/>
            <w:shd w:fill="F2F2F2" w:val="clear"/>
            <w:tcMar>
              <w:top w:type="dxa" w:w="70"/>
              <w:left w:type="dxa" w:w="100"/>
              <w:bottom w:type="dxa" w:w="70"/>
              <w:right w:type="dxa" w:w="100"/>
            </w:tcMar>
          </w:tcPr>
          <w:p>
            <w:pPr>
              <w:spacing w:after="0" w:line="240"/>
            </w:pPr>
            <w:r>
              <w:rPr>
                <w:rFonts w:ascii="Consolas" w:cs="Consolas" w:eastAsia="Consolas" w:hAnsi="Consolas"/>
                <w:sz w:val="19"/>
                <w:szCs w:val="19"/>
              </w:rPr>
              <w:t xml:space="preserve">/Patient?family=Gómez</w:t>
            </w:r>
          </w:p>
        </w:tc>
        <w:tc>
          <w:tcPr>
            <w:tcW w:type="dxa" w:w="3600"/>
            <w:shd w:fill="F2F2F2" w:val="clear"/>
            <w:tcMar>
              <w:top w:type="dxa" w:w="70"/>
              <w:left w:type="dxa" w:w="100"/>
              <w:bottom w:type="dxa" w:w="70"/>
              <w:right w:type="dxa" w:w="100"/>
            </w:tcMar>
          </w:tcPr>
          <w:p>
            <w:pPr>
              <w:spacing w:after="0" w:line="240"/>
            </w:pPr>
            <w:r>
              <w:rPr>
                <w:sz w:val="19"/>
                <w:szCs w:val="19"/>
              </w:rPr>
              <w:t xml:space="preserve">Buscar (Search) pacientes por un criterio</w:t>
            </w:r>
          </w:p>
        </w:tc>
      </w:tr>
      <w:tr>
        <w:tc>
          <w:tcPr>
            <w:tcW w:type="dxa" w:w="2200"/>
            <w:shd w:fill="FFFFFF" w:val="clear"/>
            <w:tcMar>
              <w:top w:type="dxa" w:w="70"/>
              <w:left w:type="dxa" w:w="100"/>
              <w:bottom w:type="dxa" w:w="70"/>
              <w:right w:type="dxa" w:w="100"/>
            </w:tcMar>
          </w:tcPr>
          <w:p>
            <w:pPr>
              <w:spacing w:after="0" w:line="240"/>
            </w:pPr>
            <w:r>
              <w:rPr>
                <w:sz w:val="19"/>
                <w:szCs w:val="19"/>
              </w:rPr>
              <w:t xml:space="preserve">POST</w:t>
            </w:r>
          </w:p>
        </w:tc>
        <w:tc>
          <w:tcPr>
            <w:tcW w:type="dxa" w:w="3700"/>
            <w:shd w:fill="FFFFFF" w:val="clear"/>
            <w:tcMar>
              <w:top w:type="dxa" w:w="70"/>
              <w:left w:type="dxa" w:w="100"/>
              <w:bottom w:type="dxa" w:w="70"/>
              <w:right w:type="dxa" w:w="100"/>
            </w:tcMar>
          </w:tcPr>
          <w:p>
            <w:pPr>
              <w:spacing w:after="0" w:line="240"/>
            </w:pPr>
            <w:r>
              <w:rPr>
                <w:rFonts w:ascii="Consolas" w:cs="Consolas" w:eastAsia="Consolas" w:hAnsi="Consolas"/>
                <w:sz w:val="19"/>
                <w:szCs w:val="19"/>
              </w:rPr>
              <w:t xml:space="preserve">/Patient</w:t>
            </w:r>
          </w:p>
        </w:tc>
        <w:tc>
          <w:tcPr>
            <w:tcW w:type="dxa" w:w="3600"/>
            <w:shd w:fill="FFFFFF" w:val="clear"/>
            <w:tcMar>
              <w:top w:type="dxa" w:w="70"/>
              <w:left w:type="dxa" w:w="100"/>
              <w:bottom w:type="dxa" w:w="70"/>
              <w:right w:type="dxa" w:w="100"/>
            </w:tcMar>
          </w:tcPr>
          <w:p>
            <w:pPr>
              <w:spacing w:after="0" w:line="240"/>
            </w:pPr>
            <w:r>
              <w:rPr>
                <w:sz w:val="19"/>
                <w:szCs w:val="19"/>
              </w:rPr>
              <w:t xml:space="preserve">Crear (Create) un paciente nuevo</w:t>
            </w:r>
          </w:p>
        </w:tc>
      </w:tr>
      <w:tr>
        <w:tc>
          <w:tcPr>
            <w:tcW w:type="dxa" w:w="2200"/>
            <w:shd w:fill="F2F2F2" w:val="clear"/>
            <w:tcMar>
              <w:top w:type="dxa" w:w="70"/>
              <w:left w:type="dxa" w:w="100"/>
              <w:bottom w:type="dxa" w:w="70"/>
              <w:right w:type="dxa" w:w="100"/>
            </w:tcMar>
          </w:tcPr>
          <w:p>
            <w:pPr>
              <w:spacing w:after="0" w:line="240"/>
            </w:pPr>
            <w:r>
              <w:rPr>
                <w:sz w:val="19"/>
                <w:szCs w:val="19"/>
              </w:rPr>
              <w:t xml:space="preserve">PUT</w:t>
            </w:r>
          </w:p>
        </w:tc>
        <w:tc>
          <w:tcPr>
            <w:tcW w:type="dxa" w:w="3700"/>
            <w:shd w:fill="F2F2F2" w:val="clear"/>
            <w:tcMar>
              <w:top w:type="dxa" w:w="70"/>
              <w:left w:type="dxa" w:w="100"/>
              <w:bottom w:type="dxa" w:w="70"/>
              <w:right w:type="dxa" w:w="100"/>
            </w:tcMar>
          </w:tcPr>
          <w:p>
            <w:pPr>
              <w:spacing w:after="0" w:line="240"/>
            </w:pPr>
            <w:r>
              <w:rPr>
                <w:rFonts w:ascii="Consolas" w:cs="Consolas" w:eastAsia="Consolas" w:hAnsi="Consolas"/>
                <w:sz w:val="19"/>
                <w:szCs w:val="19"/>
              </w:rPr>
              <w:t xml:space="preserve">/Patient/123</w:t>
            </w:r>
          </w:p>
        </w:tc>
        <w:tc>
          <w:tcPr>
            <w:tcW w:type="dxa" w:w="3600"/>
            <w:shd w:fill="F2F2F2" w:val="clear"/>
            <w:tcMar>
              <w:top w:type="dxa" w:w="70"/>
              <w:left w:type="dxa" w:w="100"/>
              <w:bottom w:type="dxa" w:w="70"/>
              <w:right w:type="dxa" w:w="100"/>
            </w:tcMar>
          </w:tcPr>
          <w:p>
            <w:pPr>
              <w:spacing w:after="0" w:line="240"/>
            </w:pPr>
            <w:r>
              <w:rPr>
                <w:sz w:val="19"/>
                <w:szCs w:val="19"/>
              </w:rPr>
              <w:t xml:space="preserve">Actualizar (Update) un paciente existente</w:t>
            </w:r>
          </w:p>
        </w:tc>
      </w:tr>
      <w:tr>
        <w:tc>
          <w:tcPr>
            <w:tcW w:type="dxa" w:w="2200"/>
            <w:shd w:fill="FFFFFF" w:val="clear"/>
            <w:tcMar>
              <w:top w:type="dxa" w:w="70"/>
              <w:left w:type="dxa" w:w="100"/>
              <w:bottom w:type="dxa" w:w="70"/>
              <w:right w:type="dxa" w:w="100"/>
            </w:tcMar>
          </w:tcPr>
          <w:p>
            <w:pPr>
              <w:spacing w:after="0" w:line="240"/>
            </w:pPr>
            <w:r>
              <w:rPr>
                <w:sz w:val="19"/>
                <w:szCs w:val="19"/>
              </w:rPr>
              <w:t xml:space="preserve">DELETE</w:t>
            </w:r>
          </w:p>
        </w:tc>
        <w:tc>
          <w:tcPr>
            <w:tcW w:type="dxa" w:w="3700"/>
            <w:shd w:fill="FFFFFF" w:val="clear"/>
            <w:tcMar>
              <w:top w:type="dxa" w:w="70"/>
              <w:left w:type="dxa" w:w="100"/>
              <w:bottom w:type="dxa" w:w="70"/>
              <w:right w:type="dxa" w:w="100"/>
            </w:tcMar>
          </w:tcPr>
          <w:p>
            <w:pPr>
              <w:spacing w:after="0" w:line="240"/>
            </w:pPr>
            <w:r>
              <w:rPr>
                <w:rFonts w:ascii="Consolas" w:cs="Consolas" w:eastAsia="Consolas" w:hAnsi="Consolas"/>
                <w:sz w:val="19"/>
                <w:szCs w:val="19"/>
              </w:rPr>
              <w:t xml:space="preserve">/Patient/123</w:t>
            </w:r>
          </w:p>
        </w:tc>
        <w:tc>
          <w:tcPr>
            <w:tcW w:type="dxa" w:w="3600"/>
            <w:shd w:fill="FFFFFF" w:val="clear"/>
            <w:tcMar>
              <w:top w:type="dxa" w:w="70"/>
              <w:left w:type="dxa" w:w="100"/>
              <w:bottom w:type="dxa" w:w="70"/>
              <w:right w:type="dxa" w:w="100"/>
            </w:tcMar>
          </w:tcPr>
          <w:p>
            <w:pPr>
              <w:spacing w:after="0" w:line="240"/>
            </w:pPr>
            <w:r>
              <w:rPr>
                <w:sz w:val="19"/>
                <w:szCs w:val="19"/>
              </w:rPr>
              <w:t xml:space="preserve">Eliminar (Delete) un paciente</w:t>
            </w:r>
          </w:p>
        </w:tc>
      </w:tr>
    </w:tbl>
    <w:p>
      <w:pPr>
        <w:pStyle w:val="Heading1"/>
        <w:spacing w:after="160" w:before="340"/>
      </w:pPr>
      <w:r>
        <w:rPr>
          <w:b/>
          <w:bCs/>
          <w:color w:val="1F4E79"/>
          <w:sz w:val="28"/>
          <w:szCs w:val="28"/>
        </w:rPr>
        <w:t xml:space="preserve">5. Práctica: consumir un servidor FHIR público</w:t>
      </w:r>
    </w:p>
    <w:p>
      <w:pPr>
        <w:spacing w:after="140" w:line="300"/>
      </w:pPr>
      <w:r>
        <w:rPr>
          <w:sz w:val="22"/>
          <w:szCs w:val="22"/>
        </w:rPr>
        <w:t xml:space="preserve">Vamos a repetir la misma lógica de la Clase 07 (donde consumimos APIs de SNOMED CT y CIE-10 desde VBA), pero ahora contra un servidor FHIR real y gratuito para pruebas:</w:t>
      </w:r>
    </w:p>
    <w:p>
      <w:pPr>
        <w:pStyle w:val="ListParagraph"/>
        <w:numPr>
          <w:ilvl w:val="0"/>
          <w:numId w:val="3"/>
        </w:numPr>
        <w:spacing w:after="70"/>
      </w:pPr>
      <w:r>
        <w:rPr>
          <w:sz w:val="22"/>
          <w:szCs w:val="22"/>
        </w:rPr>
        <w:t xml:space="preserve">Abrir en el navegador: http://hapi.fhir.org/baseR4/Patient?_count=5 — esto ejecuta un GET de búsqueda y devuelve un Bundle con 5 pacientes reales de prueba.</w:t>
      </w:r>
    </w:p>
    <w:p>
      <w:pPr>
        <w:pStyle w:val="ListParagraph"/>
        <w:numPr>
          <w:ilvl w:val="0"/>
          <w:numId w:val="3"/>
        </w:numPr>
        <w:spacing w:after="70"/>
      </w:pPr>
      <w:r>
        <w:rPr>
          <w:sz w:val="22"/>
          <w:szCs w:val="22"/>
        </w:rPr>
        <w:t xml:space="preserve">Copiar el id de cualquier paciente del resultado y pegarlo en: http://hapi.fhir.org/baseR4/Patient/&lt;id&gt; para ver ese único recurso.</w:t>
      </w:r>
    </w:p>
    <w:p>
      <w:pPr>
        <w:pStyle w:val="ListParagraph"/>
        <w:numPr>
          <w:ilvl w:val="0"/>
          <w:numId w:val="3"/>
        </w:numPr>
        <w:spacing w:after="70"/>
      </w:pPr>
      <w:r>
        <w:rPr>
          <w:sz w:val="22"/>
          <w:szCs w:val="22"/>
        </w:rPr>
        <w:t xml:space="preserve">En Postman, crear una petición POST a http://hapi.fhir.org/baseR4/Patient con el JSON de la sección 3 como body (Content-Type: application/fhir+json) y dar Send: el servidor debe responder 201 Created con un nuevo id asignado.</w:t>
      </w:r>
    </w:p>
    <w:p>
      <w:pPr>
        <w:pStyle w:val="ListParagraph"/>
        <w:numPr>
          <w:ilvl w:val="0"/>
          <w:numId w:val="3"/>
        </w:numPr>
        <w:spacing w:after="70"/>
      </w:pPr>
      <w:r>
        <w:rPr>
          <w:sz w:val="22"/>
          <w:szCs w:val="22"/>
        </w:rPr>
        <w:t xml:space="preserve">Anotar: ¿qué cambió en el JSON de respuesta frente al que enviamos? (pista: revisar meta e id).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shd w:fill="FFF7E6" w:val="clear"/>
            <w:tcMar>
              <w:top w:type="dxa" w:w="140"/>
              <w:left w:type="dxa" w:w="200"/>
              <w:bottom w:type="dxa" w:w="140"/>
              <w:right w:type="dxa" w:w="200"/>
            </w:tcMar>
          </w:tcPr>
          <w:p>
            <w:pPr>
              <w:spacing w:after="80"/>
            </w:pPr>
            <w:r>
              <w:rPr>
                <w:b/>
                <w:bCs/>
                <w:color w:val="8A6414"/>
                <w:sz w:val="21"/>
                <w:szCs w:val="21"/>
              </w:rPr>
              <w:t xml:space="preserve">🧪 Para la próxima clase</w:t>
            </w:r>
          </w:p>
          <w:p>
            <w:pPr>
              <w:spacing w:after="40"/>
            </w:pPr>
            <w:r>
              <w:rPr>
                <w:color w:val="8A6414"/>
                <w:sz w:val="20"/>
                <w:szCs w:val="20"/>
              </w:rPr>
              <w:t xml:space="preserve">Vamos a ver Observation (mediciones como signos vitales) y Bundle (cómo empaquetar varios recursos en un solo envío) — la base para construir un documento clínico completo.</w:t>
            </w:r>
          </w:p>
        </w:tc>
      </w:tr>
    </w:tbl>
    <w:p>
      <w:pPr>
        <w:pStyle w:val="Heading1"/>
        <w:spacing w:after="160" w:before="340"/>
      </w:pPr>
      <w:r>
        <w:rPr>
          <w:b/>
          <w:bCs/>
          <w:color w:val="1F4E79"/>
          <w:sz w:val="28"/>
          <w:szCs w:val="28"/>
        </w:rPr>
        <w:t xml:space="preserve">6. FHIR en Colombia: la IHCE y el RDA</w:t>
      </w:r>
    </w:p>
    <w:p>
      <w:pPr>
        <w:spacing w:after="140" w:line="300"/>
      </w:pPr>
      <w:r>
        <w:rPr>
          <w:sz w:val="22"/>
          <w:szCs w:val="22"/>
        </w:rPr>
        <w:t xml:space="preserve">Todo esto no es solo teoría de un estándar internacional: en Colombia ya es política pública. La IHCE (Interoperabilidad de la Historia Clínica Electrónica) es una estrategia del Ministerio de Salud y Protección Social (Minsalud) que integra los datos clínicos de cada paciente en un sistema nacional único y seguro, disponible para cualquier prestador del país, sin importar dónde lo hayan atendido antes.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4E79" w:val="clear"/>
            <w:tcMar>
              <w:top w:type="dxa" w:w="70"/>
              <w:left w:type="dxa" w:w="100"/>
              <w:bottom w:type="dxa" w:w="70"/>
              <w:right w:type="dxa" w:w="100"/>
            </w:tcMar>
          </w:tcPr>
          <w:p>
            <w:pPr>
              <w:spacing w:after="0" w:line="240"/>
            </w:pPr>
            <w:r>
              <w:rPr>
                <w:b/>
                <w:bCs/>
                <w:color w:val="FFFFFF"/>
                <w:sz w:val="19"/>
                <w:szCs w:val="19"/>
              </w:rPr>
              <w:t xml:space="preserve">Norma</w:t>
            </w:r>
          </w:p>
        </w:tc>
        <w:tc>
          <w:tcPr>
            <w:tcW w:type="dxa" w:w="6300"/>
            <w:shd w:fill="1F4E79" w:val="clear"/>
            <w:tcMar>
              <w:top w:type="dxa" w:w="70"/>
              <w:left w:type="dxa" w:w="100"/>
              <w:bottom w:type="dxa" w:w="70"/>
              <w:right w:type="dxa" w:w="100"/>
            </w:tcMar>
          </w:tcPr>
          <w:p>
            <w:pPr>
              <w:spacing w:after="0" w:line="240"/>
            </w:pPr>
            <w:r>
              <w:rPr>
                <w:b/>
                <w:bCs/>
                <w:color w:val="FFFFFF"/>
                <w:sz w:val="19"/>
                <w:szCs w:val="19"/>
              </w:rPr>
              <w:t xml:space="preserve">Qué establece</w:t>
            </w:r>
          </w:p>
        </w:tc>
      </w:tr>
      <w:tr>
        <w:tc>
          <w:tcPr>
            <w:tcW w:type="dxa" w:w="3200"/>
            <w:shd w:fill="FFFFFF" w:val="clear"/>
            <w:tcMar>
              <w:top w:type="dxa" w:w="70"/>
              <w:left w:type="dxa" w:w="100"/>
              <w:bottom w:type="dxa" w:w="70"/>
              <w:right w:type="dxa" w:w="100"/>
            </w:tcMar>
          </w:tcPr>
          <w:p>
            <w:pPr>
              <w:spacing w:after="0" w:line="240"/>
            </w:pPr>
            <w:r>
              <w:rPr>
                <w:sz w:val="19"/>
                <w:szCs w:val="19"/>
              </w:rPr>
              <w:t xml:space="preserve">Ley 2015 de 2020</w:t>
            </w:r>
          </w:p>
        </w:tc>
        <w:tc>
          <w:tcPr>
            <w:tcW w:type="dxa" w:w="6300"/>
            <w:shd w:fill="FFFFFF" w:val="clear"/>
            <w:tcMar>
              <w:top w:type="dxa" w:w="70"/>
              <w:left w:type="dxa" w:w="100"/>
              <w:bottom w:type="dxa" w:w="70"/>
              <w:right w:type="dxa" w:w="100"/>
            </w:tcMar>
          </w:tcPr>
          <w:p>
            <w:pPr>
              <w:spacing w:after="0" w:line="240"/>
            </w:pPr>
            <w:r>
              <w:rPr>
                <w:sz w:val="19"/>
                <w:szCs w:val="19"/>
              </w:rPr>
              <w:t xml:space="preserve">Crea la historia clínica electrónica interoperable</w:t>
            </w:r>
          </w:p>
        </w:tc>
      </w:tr>
      <w:tr>
        <w:tc>
          <w:tcPr>
            <w:tcW w:type="dxa" w:w="3200"/>
            <w:shd w:fill="F2F2F2" w:val="clear"/>
            <w:tcMar>
              <w:top w:type="dxa" w:w="70"/>
              <w:left w:type="dxa" w:w="100"/>
              <w:bottom w:type="dxa" w:w="70"/>
              <w:right w:type="dxa" w:w="100"/>
            </w:tcMar>
          </w:tcPr>
          <w:p>
            <w:pPr>
              <w:spacing w:after="0" w:line="240"/>
            </w:pPr>
            <w:r>
              <w:rPr>
                <w:sz w:val="19"/>
                <w:szCs w:val="19"/>
              </w:rPr>
              <w:t xml:space="preserve">Resolución 866 de 2021</w:t>
            </w:r>
          </w:p>
        </w:tc>
        <w:tc>
          <w:tcPr>
            <w:tcW w:type="dxa" w:w="6300"/>
            <w:shd w:fill="F2F2F2" w:val="clear"/>
            <w:tcMar>
              <w:top w:type="dxa" w:w="70"/>
              <w:left w:type="dxa" w:w="100"/>
              <w:bottom w:type="dxa" w:w="70"/>
              <w:right w:type="dxa" w:w="100"/>
            </w:tcMar>
          </w:tcPr>
          <w:p>
            <w:pPr>
              <w:spacing w:after="0" w:line="240"/>
            </w:pPr>
            <w:r>
              <w:rPr>
                <w:sz w:val="19"/>
                <w:szCs w:val="19"/>
              </w:rPr>
              <w:t xml:space="preserve">Define catálogos y terminologías clínicas obligatorias</w:t>
            </w:r>
          </w:p>
        </w:tc>
      </w:tr>
      <w:tr>
        <w:tc>
          <w:tcPr>
            <w:tcW w:type="dxa" w:w="3200"/>
            <w:shd w:fill="FFFFFF" w:val="clear"/>
            <w:tcMar>
              <w:top w:type="dxa" w:w="70"/>
              <w:left w:type="dxa" w:w="100"/>
              <w:bottom w:type="dxa" w:w="70"/>
              <w:right w:type="dxa" w:w="100"/>
            </w:tcMar>
          </w:tcPr>
          <w:p>
            <w:pPr>
              <w:spacing w:after="0" w:line="240"/>
            </w:pPr>
            <w:r>
              <w:rPr>
                <w:sz w:val="19"/>
                <w:szCs w:val="19"/>
              </w:rPr>
              <w:t xml:space="preserve">Resolución 1888 de 2025</w:t>
            </w:r>
          </w:p>
        </w:tc>
        <w:tc>
          <w:tcPr>
            <w:tcW w:type="dxa" w:w="6300"/>
            <w:shd w:fill="FFFFFF" w:val="clear"/>
            <w:tcMar>
              <w:top w:type="dxa" w:w="70"/>
              <w:left w:type="dxa" w:w="100"/>
              <w:bottom w:type="dxa" w:w="70"/>
              <w:right w:type="dxa" w:w="100"/>
            </w:tcMar>
          </w:tcPr>
          <w:p>
            <w:pPr>
              <w:spacing w:after="0" w:line="240"/>
            </w:pPr>
            <w:r>
              <w:rPr>
                <w:sz w:val="19"/>
                <w:szCs w:val="19"/>
              </w:rPr>
              <w:t xml:space="preserve">Adopta el RDA — obligatorio desde el 15 de abril de 2026</w:t>
            </w:r>
          </w:p>
        </w:tc>
      </w:tr>
    </w:tbl>
    <w:p>
      <w:pPr>
        <w:spacing w:after="100" w:line="300"/>
      </w:pPr>
      <w:r>
        <w:rPr>
          <w:sz w:val="22"/>
          <w:szCs w:val="22"/>
        </w:rPr>
        <w:t xml:space="preserve">El componente central es el RDA (Resumen Digital de Atención): el documento clínico que arma cada IPS y que cualquier otra puede consultar. Está construido, literalmente, en HL7 FHIR R4 — un Bundle tipo document con un Composition que organiza el contenido y referencia recursos como Patient y Observation. Cualquier profesional autorizado en el país puede consultarlo a través del Visor RDA (operación $consultar-resumen-longitudinal), y recuperar así al menos 12 meses de historia clínica del paciente, sin importar en qué IPS se generó.</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shd w:fill="FFF7E6" w:val="clear"/>
            <w:tcMar>
              <w:top w:type="dxa" w:w="140"/>
              <w:left w:type="dxa" w:w="200"/>
              <w:bottom w:type="dxa" w:w="140"/>
              <w:right w:type="dxa" w:w="200"/>
            </w:tcMar>
          </w:tcPr>
          <w:p>
            <w:pPr>
              <w:spacing w:after="80"/>
            </w:pPr>
            <w:r>
              <w:rPr>
                <w:b/>
                <w:bCs/>
                <w:color w:val="8A6414"/>
                <w:sz w:val="21"/>
                <w:szCs w:val="21"/>
              </w:rPr>
              <w:t xml:space="preserve">💡 La conexión con lo que viene</w:t>
            </w:r>
          </w:p>
          <w:p>
            <w:pPr>
              <w:spacing w:after="40"/>
            </w:pPr>
            <w:r>
              <w:rPr>
                <w:color w:val="8A6414"/>
                <w:sz w:val="20"/>
                <w:szCs w:val="20"/>
              </w:rPr>
              <w:t xml:space="preserve">El RDA usa exactamente los mismos recursos que vamos a construir en las próximas dos clases: Observation para las mediciones, y un Bundle tipo document con un Composition para armar el documento clínico completo — a escala de todo el país.</w:t>
            </w:r>
          </w:p>
        </w:tc>
      </w:tr>
    </w:tbl>
    <w:p>
      <w:pPr>
        <w:spacing w:after="200" w:line="300"/>
      </w:pPr>
      <w:r>
        <w:rPr>
          <w:i/>
          <w:iCs/>
          <w:sz w:val="22"/>
          <w:szCs w:val="22"/>
        </w:rPr>
        <w:t xml:space="preserve">Más información: minsalud.gov.co/ihce</w:t>
      </w:r>
    </w:p>
    <w:p>
      <w:pPr>
        <w:pStyle w:val="Heading1"/>
        <w:spacing w:after="160" w:before="340"/>
      </w:pPr>
      <w:r>
        <w:rPr>
          <w:b/>
          <w:bCs/>
          <w:color w:val="1F4E79"/>
          <w:sz w:val="28"/>
          <w:szCs w:val="28"/>
        </w:rPr>
        <w:t xml:space="preserve">📖 Materiales y lecturas</w:t>
      </w:r>
    </w:p>
    <w:p>
      <w:pPr>
        <w:pStyle w:val="ListParagraph"/>
        <w:numPr>
          <w:ilvl w:val="0"/>
          <w:numId w:val="2"/>
        </w:numPr>
        <w:spacing w:after="70"/>
      </w:pPr>
      <w:r>
        <w:rPr>
          <w:sz w:val="22"/>
          <w:szCs w:val="22"/>
        </w:rPr>
        <w:t xml:space="preserve">Guía práctica de esta clase (este documento).</w:t>
      </w:r>
    </w:p>
    <w:p>
      <w:pPr>
        <w:pStyle w:val="ListParagraph"/>
        <w:numPr>
          <w:ilvl w:val="0"/>
          <w:numId w:val="2"/>
        </w:numPr>
        <w:spacing w:after="70"/>
      </w:pPr>
      <w:r>
        <w:rPr>
          <w:sz w:val="22"/>
          <w:szCs w:val="22"/>
        </w:rPr>
        <w:t xml:space="preserve">Presentación de diapositivas: Clase08-FHIR-APIs.pptx</w:t>
      </w:r>
    </w:p>
    <w:p>
      <w:pPr>
        <w:pStyle w:val="ListParagraph"/>
        <w:numPr>
          <w:ilvl w:val="0"/>
          <w:numId w:val="2"/>
        </w:numPr>
        <w:spacing w:after="70"/>
      </w:pPr>
      <w:r>
        <w:rPr>
          <w:sz w:val="22"/>
          <w:szCs w:val="22"/>
        </w:rPr>
        <w:t xml:space="preserve">Especificación oficial del recurso Patient: hl7.org/fhir/R4/patient.html</w:t>
      </w:r>
    </w:p>
    <w:p>
      <w:pPr>
        <w:pStyle w:val="ListParagraph"/>
        <w:numPr>
          <w:ilvl w:val="0"/>
          <w:numId w:val="2"/>
        </w:numPr>
        <w:spacing w:after="70"/>
      </w:pPr>
      <w:r>
        <w:rPr>
          <w:sz w:val="22"/>
          <w:szCs w:val="22"/>
        </w:rPr>
        <w:t xml:space="preserve">Servidor de práctica: HAPI FHIR Demo — http://hapi.fhir.org/baseR4</w:t>
      </w:r>
    </w:p>
    <w:p>
      <w:pPr>
        <w:pStyle w:val="ListParagraph"/>
        <w:numPr>
          <w:ilvl w:val="0"/>
          <w:numId w:val="2"/>
        </w:numPr>
        <w:spacing w:after="70"/>
      </w:pPr>
      <w:r>
        <w:rPr>
          <w:sz w:val="22"/>
          <w:szCs w:val="22"/>
        </w:rPr>
        <w:t xml:space="preserve">IHCE y el RDA en Colombia (Minsalud): minsalud.gov.co/ihce</w:t>
      </w:r>
    </w:p>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5"/>
        <w:szCs w:val="15"/>
      </w:rPr>
      <w:t xml:space="preserve">Informática Médica (IFMER) 2026-II · Corte 2 · Clase 08 — página </w:t>
    </w:r>
    <w:r>
      <w:rPr>
        <w:color w:val="8080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a533b65544868519208cc6b1503583628db446b.png"/><Relationship Id="rId9" Type="http://schemas.openxmlformats.org/officeDocument/2006/relationships/image" Target="media/9a27c0e9a0a7b9873b2ae2833a35c3065b6788b8.png"/><Relationship Id="rId10" Type="http://schemas.openxmlformats.org/officeDocument/2006/relationships/image" Target="media/486536349cf8a005924439434d790e0b341826c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Clase 08 - Estandares Modernos: HL7 FHIR y APIs</dc:title>
  <dc:creator>Prof. Jefferson Sarmiento Rojas</dc:creator>
  <dc:description>Guia de clase - IFMER 2026-II - Corte 2</dc:description>
  <cp:lastModifiedBy>Un-named</cp:lastModifiedBy>
  <cp:revision>1</cp:revision>
  <dcterms:created xsi:type="dcterms:W3CDTF">2026-09-16T00:41:53.435Z</dcterms:created>
  <dcterms:modified xsi:type="dcterms:W3CDTF">2026-09-16T00:41:53.436Z</dcterms:modified>
</cp:coreProperties>
</file>

<file path=docProps/custom.xml><?xml version="1.0" encoding="utf-8"?>
<Properties xmlns="http://schemas.openxmlformats.org/officeDocument/2006/custom-properties" xmlns:vt="http://schemas.openxmlformats.org/officeDocument/2006/docPropsVTypes"/>
</file>