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9E52" w14:textId="77777777" w:rsidR="00390AF7" w:rsidRDefault="00390AF7"/>
    <w:p w14:paraId="5C2B171B" w14:textId="677D4E24" w:rsidR="00F90A85" w:rsidRPr="00E27370" w:rsidRDefault="00F90A85">
      <w:r w:rsidRPr="00E27370">
        <w:t>Title:</w:t>
      </w:r>
      <w:r w:rsidR="004939D4" w:rsidRPr="00E27370">
        <w:t xml:space="preserve"> </w:t>
      </w:r>
      <w:r w:rsidR="00F410B0" w:rsidRPr="00E27370">
        <w:t xml:space="preserve">Estimating the effect </w:t>
      </w:r>
      <w:r w:rsidR="004F6A0E" w:rsidRPr="00E27370">
        <w:t>of</w:t>
      </w:r>
      <w:r w:rsidR="00F410B0" w:rsidRPr="00E27370">
        <w:t xml:space="preserve"> </w:t>
      </w:r>
      <w:r w:rsidR="00E6111A" w:rsidRPr="00E27370">
        <w:t xml:space="preserve">recreational marijuana legalization on </w:t>
      </w:r>
      <w:r w:rsidR="000A0461" w:rsidRPr="00E27370">
        <w:t>labor market outcomes, labor supply and leisure preferences</w:t>
      </w:r>
    </w:p>
    <w:p w14:paraId="49F16826" w14:textId="77777777" w:rsidR="00F90A85" w:rsidRPr="00E27370" w:rsidRDefault="00F90A85"/>
    <w:p w14:paraId="1BEBD1FD" w14:textId="47B1EB6A" w:rsidR="00E46719" w:rsidRPr="00E27370" w:rsidRDefault="00F90A85">
      <w:r w:rsidRPr="00E27370">
        <w:t>Abstract:</w:t>
      </w:r>
      <w:r w:rsidR="00B159AF">
        <w:t xml:space="preserve"> </w:t>
      </w:r>
      <w:r w:rsidR="00E46719" w:rsidRPr="00E27370">
        <w:t xml:space="preserve">This article investigates the effect of Recreational Marijuana </w:t>
      </w:r>
      <w:r w:rsidR="00893977" w:rsidRPr="00E27370">
        <w:t>Laws</w:t>
      </w:r>
      <w:r w:rsidR="00E46719" w:rsidRPr="00E27370">
        <w:t xml:space="preserve"> (R</w:t>
      </w:r>
      <w:r w:rsidR="007974A1" w:rsidRPr="00E27370">
        <w:t>M</w:t>
      </w:r>
      <w:r w:rsidR="00E46719" w:rsidRPr="00E27370">
        <w:t>L</w:t>
      </w:r>
      <w:r w:rsidR="00893977" w:rsidRPr="00E27370">
        <w:t>s</w:t>
      </w:r>
      <w:r w:rsidR="00E46719" w:rsidRPr="00E27370">
        <w:t xml:space="preserve">) on </w:t>
      </w:r>
      <w:r w:rsidR="002F1A43" w:rsidRPr="00E27370">
        <w:t>time use trends</w:t>
      </w:r>
      <w:r w:rsidR="00E46719" w:rsidRPr="00E27370">
        <w:t xml:space="preserve"> and labor market outcomes. </w:t>
      </w:r>
      <w:r w:rsidR="00893977" w:rsidRPr="00E27370">
        <w:t xml:space="preserve">I </w:t>
      </w:r>
      <w:r w:rsidR="002F1A43" w:rsidRPr="00E27370">
        <w:t xml:space="preserve">use a difference-in-differences research design, exploiting </w:t>
      </w:r>
      <w:r w:rsidR="00893977" w:rsidRPr="00E27370">
        <w:t xml:space="preserve">variation in the </w:t>
      </w:r>
      <w:r w:rsidR="002F1A43" w:rsidRPr="00E27370">
        <w:t>timing of legalization, to estimate the effect of R</w:t>
      </w:r>
      <w:r w:rsidR="007974A1" w:rsidRPr="00E27370">
        <w:t>M</w:t>
      </w:r>
      <w:r w:rsidR="002F1A43" w:rsidRPr="00E27370">
        <w:t>Ls</w:t>
      </w:r>
      <w:r w:rsidR="002B12CF" w:rsidRPr="00E27370">
        <w:t xml:space="preserve"> on </w:t>
      </w:r>
      <w:r w:rsidR="0037521A" w:rsidRPr="00E27370">
        <w:t xml:space="preserve">labor supply, leisure demand, and time use distribution. </w:t>
      </w:r>
    </w:p>
    <w:p w14:paraId="0C5433FC" w14:textId="77777777" w:rsidR="00F90A85" w:rsidRPr="00E27370" w:rsidRDefault="00F90A85"/>
    <w:p w14:paraId="3E308C8E" w14:textId="4E4D3CAC" w:rsidR="00F90A85" w:rsidRPr="00E27370" w:rsidRDefault="00F90A85">
      <w:r w:rsidRPr="00E27370">
        <w:t>Motivation:</w:t>
      </w:r>
    </w:p>
    <w:p w14:paraId="49A895F7" w14:textId="3BD1A783" w:rsidR="0037521A" w:rsidRPr="00E27370" w:rsidRDefault="00020E4B" w:rsidP="0065685A">
      <w:pPr>
        <w:ind w:firstLine="720"/>
      </w:pPr>
      <w:r w:rsidRPr="00E27370">
        <w:t>In the past twenty years, public sentiment regarding marijuana legalization has shifted significantly</w:t>
      </w:r>
      <w:r w:rsidRPr="00E27370">
        <w:rPr>
          <w:rStyle w:val="FootnoteReference"/>
        </w:rPr>
        <w:footnoteReference w:id="1"/>
      </w:r>
      <w:r w:rsidRPr="00E27370">
        <w:t xml:space="preserve">. </w:t>
      </w:r>
      <w:r w:rsidR="004939D4" w:rsidRPr="00E27370">
        <w:t xml:space="preserve">In 2012, Colorado and Washington legalized the recreational use of marijuana, and since then 16 additional states as well as the District of Columbia have implemented </w:t>
      </w:r>
      <w:r w:rsidR="002A0C27" w:rsidRPr="00E27370">
        <w:t>similar policies. While there are a number of studies focused on the effect of medical marijuana legalization</w:t>
      </w:r>
      <w:r w:rsidR="00404125" w:rsidRPr="00E27370">
        <w:t xml:space="preserve"> (MML)</w:t>
      </w:r>
      <w:r w:rsidR="002A0C27" w:rsidRPr="00E27370">
        <w:t xml:space="preserve"> on labor market outcomes, far fewer have investigated the effect of recreational legalization.</w:t>
      </w:r>
      <w:r w:rsidR="00404125" w:rsidRPr="00E27370">
        <w:t xml:space="preserve"> The lack of </w:t>
      </w:r>
      <w:r w:rsidR="00DA7108" w:rsidRPr="00E27370">
        <w:t>empirical research</w:t>
      </w:r>
      <w:r w:rsidR="00404125" w:rsidRPr="00E27370">
        <w:t xml:space="preserve"> on</w:t>
      </w:r>
      <w:r w:rsidR="00DA7108" w:rsidRPr="00E27370">
        <w:t xml:space="preserve"> the effect of</w:t>
      </w:r>
      <w:r w:rsidR="00404125" w:rsidRPr="00E27370">
        <w:t xml:space="preserve"> </w:t>
      </w:r>
      <w:r w:rsidR="00DA7108" w:rsidRPr="00E27370">
        <w:t xml:space="preserve">RMLs </w:t>
      </w:r>
      <w:r w:rsidR="00404125" w:rsidRPr="00E27370">
        <w:t xml:space="preserve">is particularly concerning since only about 2% of the population in MML states are eligible for medical marijuana, thus </w:t>
      </w:r>
      <w:r w:rsidR="00DA7108" w:rsidRPr="00E27370">
        <w:t xml:space="preserve">existing studies of </w:t>
      </w:r>
      <w:r w:rsidR="00404125" w:rsidRPr="00E27370">
        <w:t xml:space="preserve">MMLs </w:t>
      </w:r>
      <w:r w:rsidR="00DA7108" w:rsidRPr="00E27370">
        <w:t xml:space="preserve">may not adequately reflect the effect of RMLs on </w:t>
      </w:r>
      <w:r w:rsidR="00CF55E5" w:rsidRPr="00E27370">
        <w:t>otherwise similar populations</w:t>
      </w:r>
      <w:r w:rsidR="00DA7108" w:rsidRPr="00E27370">
        <w:rPr>
          <w:rStyle w:val="FootnoteReference"/>
        </w:rPr>
        <w:footnoteReference w:id="2"/>
      </w:r>
      <w:r w:rsidR="00DA7108" w:rsidRPr="00E27370">
        <w:t>.</w:t>
      </w:r>
      <w:r w:rsidR="0065685A" w:rsidRPr="00E27370">
        <w:t xml:space="preserve"> </w:t>
      </w:r>
    </w:p>
    <w:p w14:paraId="75141844" w14:textId="5F5C4352" w:rsidR="0065685A" w:rsidRPr="00E27370" w:rsidRDefault="00AA2074" w:rsidP="0065685A">
      <w:pPr>
        <w:ind w:firstLine="720"/>
      </w:pPr>
      <w:r w:rsidRPr="00E27370">
        <w:t>Thus far, st</w:t>
      </w:r>
      <w:r w:rsidR="0065685A" w:rsidRPr="00E27370">
        <w:t>udies examining the effect of RML</w:t>
      </w:r>
      <w:r w:rsidR="00005C6D" w:rsidRPr="00E27370">
        <w:t xml:space="preserve">s on </w:t>
      </w:r>
      <w:r w:rsidRPr="00E27370">
        <w:t>labor market outcomes have been relatively limited</w:t>
      </w:r>
      <w:r w:rsidR="00AF2660" w:rsidRPr="00E27370">
        <w:t xml:space="preserve"> in scope, finding minimal or insignificant effects on labor market participation and wages (Maclean et al., 2020).</w:t>
      </w:r>
      <w:r w:rsidR="002E5055" w:rsidRPr="00E27370">
        <w:t xml:space="preserve"> No studies exist to date examining the effect of RMLs on time-use trends</w:t>
      </w:r>
      <w:r w:rsidR="00BF4B8A" w:rsidRPr="00E27370">
        <w:t xml:space="preserve">, nor analyzed whether these effects vary based </w:t>
      </w:r>
      <w:r w:rsidR="001646A8" w:rsidRPr="00E27370">
        <w:t>on individual</w:t>
      </w:r>
      <w:r w:rsidR="00BF4B8A" w:rsidRPr="00E27370">
        <w:t xml:space="preserve"> characteristics.</w:t>
      </w:r>
    </w:p>
    <w:p w14:paraId="62C3EED0" w14:textId="77777777" w:rsidR="0037521A" w:rsidRPr="00E27370" w:rsidRDefault="0037521A"/>
    <w:p w14:paraId="11282A6E" w14:textId="77777777" w:rsidR="00E27370" w:rsidRPr="00E27370" w:rsidRDefault="00E27370">
      <w:r w:rsidRPr="00E27370">
        <w:t xml:space="preserve">RQ: </w:t>
      </w:r>
    </w:p>
    <w:p w14:paraId="383F42DC" w14:textId="496A616B" w:rsidR="0037521A" w:rsidRPr="00E27370" w:rsidRDefault="00BF4B8A">
      <w:r w:rsidRPr="00E27370">
        <w:t xml:space="preserve">Does the implementation of state-level RMLs affect labor market outcomes or time-use trends? Do these effects vary based on </w:t>
      </w:r>
      <w:r w:rsidR="001646A8" w:rsidRPr="00E27370">
        <w:t>individual characteristics such as age or gender?</w:t>
      </w:r>
    </w:p>
    <w:p w14:paraId="2EEAAC84" w14:textId="041D7445" w:rsidR="001646A8" w:rsidRDefault="001646A8"/>
    <w:p w14:paraId="7902301D" w14:textId="63FCB973" w:rsidR="00EE7333" w:rsidRDefault="00EE7333"/>
    <w:p w14:paraId="716366C9" w14:textId="0D6B3072" w:rsidR="00EE7333" w:rsidRDefault="00EE7333"/>
    <w:p w14:paraId="642E4FF7" w14:textId="5FBEACAA" w:rsidR="00EE7333" w:rsidRDefault="00EE7333"/>
    <w:p w14:paraId="30F2F237" w14:textId="7342F681" w:rsidR="00EE7333" w:rsidRDefault="00EE7333"/>
    <w:p w14:paraId="6AF79A7D" w14:textId="37EE8F58" w:rsidR="00EE7333" w:rsidRDefault="00EE7333"/>
    <w:p w14:paraId="55FDE607" w14:textId="086E8A31" w:rsidR="00EE7333" w:rsidRDefault="00EE7333"/>
    <w:p w14:paraId="13B81FA5" w14:textId="19A2A601" w:rsidR="00EE7333" w:rsidRDefault="00EE7333"/>
    <w:p w14:paraId="0FC73C86" w14:textId="69699115" w:rsidR="00EE7333" w:rsidRDefault="00EE7333"/>
    <w:p w14:paraId="11EFB982" w14:textId="34AC72C4" w:rsidR="00EE7333" w:rsidRDefault="00EE7333"/>
    <w:p w14:paraId="56BB8811" w14:textId="735FDD39" w:rsidR="00EE7333" w:rsidRDefault="00EE7333"/>
    <w:p w14:paraId="3FB6C6DF" w14:textId="61F839E4" w:rsidR="00EE7333" w:rsidRDefault="00EE7333"/>
    <w:p w14:paraId="0AD1DAB7" w14:textId="2FC04DC3" w:rsidR="00EE7333" w:rsidRDefault="00EE7333"/>
    <w:p w14:paraId="7F73FCEA" w14:textId="1FBA9D5D" w:rsidR="00EE7333" w:rsidRDefault="00EE7333"/>
    <w:p w14:paraId="5533B21B" w14:textId="3B448DED" w:rsidR="00EE7333" w:rsidRDefault="00EE7333"/>
    <w:p w14:paraId="500587F3" w14:textId="7F3D60B9" w:rsidR="00EE7333" w:rsidRDefault="00EE7333"/>
    <w:p w14:paraId="70B4852D" w14:textId="77777777" w:rsidR="00EE7333" w:rsidRPr="00E27370" w:rsidRDefault="00EE7333"/>
    <w:p w14:paraId="6039593C" w14:textId="19B6FBDE" w:rsidR="00F90A85" w:rsidRPr="00E27370" w:rsidRDefault="00F90A85">
      <w:r w:rsidRPr="00E27370">
        <w:t>Literature Review:</w:t>
      </w:r>
    </w:p>
    <w:p w14:paraId="32041CC2" w14:textId="747C36FE" w:rsidR="000D374F" w:rsidRPr="00E27370" w:rsidRDefault="00A45A97">
      <w:r w:rsidRPr="00E27370">
        <w:tab/>
      </w:r>
      <w:r w:rsidR="00E4748E" w:rsidRPr="00E27370">
        <w:t xml:space="preserve">Research on the effect of RMLs remains relatively limited due to their relatively recent adoption. </w:t>
      </w:r>
      <w:proofErr w:type="spellStart"/>
      <w:r w:rsidR="00E4748E" w:rsidRPr="00E27370">
        <w:t>Cerdá</w:t>
      </w:r>
      <w:proofErr w:type="spellEnd"/>
      <w:r w:rsidR="00E4748E" w:rsidRPr="00E27370">
        <w:t xml:space="preserve"> </w:t>
      </w:r>
      <w:r w:rsidR="00E4748E" w:rsidRPr="00E27370">
        <w:t xml:space="preserve">et al. (2020) </w:t>
      </w:r>
      <w:r w:rsidR="00B91231" w:rsidRPr="00E27370">
        <w:t xml:space="preserve">use data from the National Survey on Drug Use and Health to show that the adoption of RMLs contributed to an increase in marijuana use among adolescents and adults 26 years old or older. </w:t>
      </w:r>
      <w:r w:rsidR="00EE6D28" w:rsidRPr="00E27370">
        <w:t>Similarly, Miller et al. (2017) show that the implementation of RML in Washington significantly increased marijuana use amongst undergraduates, and moreover found that the effect was heterogenous across gender and ethnicity. Yet, it remains unclear to what extent this translates into time-use and labor market outcomes.</w:t>
      </w:r>
    </w:p>
    <w:p w14:paraId="5C56A09D" w14:textId="77777777" w:rsidR="00EE6D28" w:rsidRPr="00E27370" w:rsidRDefault="00EE6D28"/>
    <w:p w14:paraId="1BE93A75" w14:textId="62C35FF0" w:rsidR="00A45A97" w:rsidRPr="00E27370" w:rsidRDefault="00965E4F" w:rsidP="000D374F">
      <w:pPr>
        <w:ind w:firstLine="720"/>
      </w:pPr>
      <w:r w:rsidRPr="00E27370">
        <w:t>Since</w:t>
      </w:r>
      <w:r w:rsidR="00A229BC" w:rsidRPr="00E27370">
        <w:t xml:space="preserve"> few studies examine the impact of R</w:t>
      </w:r>
      <w:r w:rsidR="000D374F" w:rsidRPr="00E27370">
        <w:t>M</w:t>
      </w:r>
      <w:r w:rsidR="00A229BC" w:rsidRPr="00E27370">
        <w:t>Ls on labor-market outcomes and time-use trends</w:t>
      </w:r>
      <w:r w:rsidRPr="00E27370">
        <w:t>, research focused on</w:t>
      </w:r>
      <w:r w:rsidR="000D374F" w:rsidRPr="00E27370">
        <w:t xml:space="preserve"> MMLs form the foundation for </w:t>
      </w:r>
      <w:r w:rsidR="00EE6D28" w:rsidRPr="00E27370">
        <w:t xml:space="preserve">much of the </w:t>
      </w:r>
      <w:r w:rsidR="000D374F" w:rsidRPr="00E27370">
        <w:t>on-going research regarding the effect of RML adoption.</w:t>
      </w:r>
      <w:r w:rsidR="00EE6D28" w:rsidRPr="00E27370">
        <w:t xml:space="preserve"> </w:t>
      </w:r>
      <w:r w:rsidRPr="00E27370">
        <w:t xml:space="preserve">Sabia and Nguyen (2018) </w:t>
      </w:r>
      <w:r w:rsidR="00EC478F" w:rsidRPr="00E27370">
        <w:t xml:space="preserve">find that the effects of MMLs </w:t>
      </w:r>
      <w:r w:rsidR="00DA207A" w:rsidRPr="00E27370">
        <w:t>employment and hours worked</w:t>
      </w:r>
      <w:r w:rsidR="00EC478F" w:rsidRPr="00E27370">
        <w:t xml:space="preserve"> </w:t>
      </w:r>
      <w:r w:rsidR="00EC478F" w:rsidRPr="00E27370">
        <w:t>are minimal</w:t>
      </w:r>
      <w:r w:rsidR="00EC478F" w:rsidRPr="00E27370">
        <w:t xml:space="preserve">, </w:t>
      </w:r>
      <w:r w:rsidRPr="00E27370">
        <w:t>argu</w:t>
      </w:r>
      <w:r w:rsidR="00DA207A" w:rsidRPr="00E27370">
        <w:t>ing</w:t>
      </w:r>
      <w:r w:rsidRPr="00E27370">
        <w:t xml:space="preserve"> that the effect of marijuana legalization is </w:t>
      </w:r>
      <w:r w:rsidR="00EC478F" w:rsidRPr="00E27370">
        <w:t xml:space="preserve">theoretically </w:t>
      </w:r>
      <w:r w:rsidRPr="00E27370">
        <w:t xml:space="preserve">ambiguous. It may be negatively related to labor supply </w:t>
      </w:r>
      <w:r w:rsidR="00096466" w:rsidRPr="00E27370">
        <w:t xml:space="preserve">due to marijuana’s association </w:t>
      </w:r>
      <w:r w:rsidRPr="00E27370">
        <w:t xml:space="preserve">with amotivation </w:t>
      </w:r>
      <w:r w:rsidR="00096466" w:rsidRPr="00E27370">
        <w:t>and diminished cognition (</w:t>
      </w:r>
      <w:r w:rsidR="00EC478F" w:rsidRPr="00E27370">
        <w:t>Volkow et al., 2016</w:t>
      </w:r>
      <w:r w:rsidR="00EC478F" w:rsidRPr="00E27370">
        <w:t>;</w:t>
      </w:r>
      <w:r w:rsidR="00EC478F" w:rsidRPr="00E27370">
        <w:t xml:space="preserve"> </w:t>
      </w:r>
      <w:r w:rsidR="00096466" w:rsidRPr="00E27370">
        <w:t>van Ours and Williams 2011), amongst other negative effects noted in the literature. On the other hand, legalization may have positive effects on labor market outcomes</w:t>
      </w:r>
      <w:r w:rsidR="00EC478F" w:rsidRPr="00E27370">
        <w:t>.</w:t>
      </w:r>
      <w:r w:rsidR="00DF51EE" w:rsidRPr="00E27370">
        <w:t xml:space="preserve"> </w:t>
      </w:r>
      <w:r w:rsidR="00EC478F" w:rsidRPr="00E27370">
        <w:t>F</w:t>
      </w:r>
      <w:r w:rsidR="00DF51EE" w:rsidRPr="00E27370">
        <w:t>or instance</w:t>
      </w:r>
      <w:r w:rsidR="00EC478F" w:rsidRPr="00E27370">
        <w:t>,</w:t>
      </w:r>
      <w:r w:rsidR="00DF51EE" w:rsidRPr="00E27370">
        <w:t xml:space="preserve"> Nicholas and Maclean (2018) find that the adoption of an MML increases the probability of 50+ year old adults working full-time. </w:t>
      </w:r>
      <w:r w:rsidR="00EC478F" w:rsidRPr="00E27370">
        <w:t xml:space="preserve">While </w:t>
      </w:r>
      <w:r w:rsidR="00DF51EE" w:rsidRPr="00E27370">
        <w:t>Ullman (2017) finds that the legalization of medical marijuana decreases the likelihood of respondents being absent from work.</w:t>
      </w:r>
      <w:r w:rsidR="00096466" w:rsidRPr="00E27370">
        <w:t xml:space="preserve"> </w:t>
      </w:r>
      <w:r w:rsidR="00DF51EE" w:rsidRPr="00E27370">
        <w:t xml:space="preserve">Alternatively, there may be no significant relationship at all. </w:t>
      </w:r>
    </w:p>
    <w:p w14:paraId="3DA24449" w14:textId="3CEF9854" w:rsidR="00FC5E41" w:rsidRPr="00E27370" w:rsidRDefault="00FC5E41"/>
    <w:p w14:paraId="4EB39D31" w14:textId="253BAE28" w:rsidR="00EC478F" w:rsidRPr="00E27370" w:rsidRDefault="00EC478F">
      <w:r w:rsidRPr="00E27370">
        <w:tab/>
        <w:t xml:space="preserve">Of particular relevance here are two recent articles examining the effect of MMLs </w:t>
      </w:r>
      <w:r w:rsidR="007706D0" w:rsidRPr="00E27370">
        <w:t>using the American Time-Use Survey</w:t>
      </w:r>
      <w:r w:rsidR="00DA207A" w:rsidRPr="00E27370">
        <w:t xml:space="preserve">. Chu and </w:t>
      </w:r>
      <w:proofErr w:type="spellStart"/>
      <w:r w:rsidR="00DA207A" w:rsidRPr="00E27370">
        <w:t>Gershenson</w:t>
      </w:r>
      <w:proofErr w:type="spellEnd"/>
      <w:r w:rsidR="00DA207A" w:rsidRPr="00E27370">
        <w:t xml:space="preserve"> (2018) find that the adoption of MMLs have no effect on secondary </w:t>
      </w:r>
      <w:r w:rsidR="007706D0" w:rsidRPr="00E27370">
        <w:t>students but</w:t>
      </w:r>
      <w:r w:rsidR="00DA207A" w:rsidRPr="00E27370">
        <w:t xml:space="preserve"> </w:t>
      </w:r>
      <w:r w:rsidR="007706D0" w:rsidRPr="00E27370">
        <w:t xml:space="preserve">leads to an approximate 20% increase in leisure-activity time and 20% decrease in education-activity time, amongst post-secondary students. </w:t>
      </w:r>
      <w:r w:rsidR="00AB2CA2" w:rsidRPr="00E27370">
        <w:t xml:space="preserve">Focusing specifically on labor market outcomes, </w:t>
      </w:r>
      <w:proofErr w:type="spellStart"/>
      <w:r w:rsidR="007706D0" w:rsidRPr="00E27370">
        <w:t>Jergins</w:t>
      </w:r>
      <w:proofErr w:type="spellEnd"/>
      <w:r w:rsidR="007706D0" w:rsidRPr="00E27370">
        <w:t xml:space="preserve"> (2022) </w:t>
      </w:r>
      <w:r w:rsidR="00AB2CA2" w:rsidRPr="00E27370">
        <w:t>finds that MMLs largely do not affect labor market outcomes, though they do appear to decrease job search time amongst young men and increases the likelihood of labor force participation amongst women aged 30 to 39.</w:t>
      </w:r>
    </w:p>
    <w:p w14:paraId="7A8872E3" w14:textId="77777777" w:rsidR="00DA207A" w:rsidRPr="00E27370" w:rsidRDefault="00DA207A"/>
    <w:p w14:paraId="42BAE547" w14:textId="77777777" w:rsidR="00F90A85" w:rsidRPr="00E27370" w:rsidRDefault="00F90A85"/>
    <w:p w14:paraId="77C91F57" w14:textId="056C34C9" w:rsidR="00F90A85" w:rsidRPr="00E27370" w:rsidRDefault="00F90A85">
      <w:r w:rsidRPr="00E27370">
        <w:t>Research Design:</w:t>
      </w:r>
    </w:p>
    <w:p w14:paraId="2331AC28" w14:textId="36A92266" w:rsidR="00A333D4" w:rsidRPr="00E27370" w:rsidRDefault="00A333D4">
      <w:r w:rsidRPr="00E27370">
        <w:t>Data:</w:t>
      </w:r>
    </w:p>
    <w:p w14:paraId="04858009" w14:textId="2A084D5A" w:rsidR="00FF4C88" w:rsidRPr="00E27370" w:rsidRDefault="00A333D4">
      <w:r w:rsidRPr="00E27370">
        <w:tab/>
        <w:t xml:space="preserve">The primary data source is the American Time Use Survey </w:t>
      </w:r>
      <w:r w:rsidR="00FF4C88" w:rsidRPr="00E27370">
        <w:t xml:space="preserve">(ATUS) </w:t>
      </w:r>
      <w:r w:rsidRPr="00E27370">
        <w:t>from 200</w:t>
      </w:r>
      <w:r w:rsidR="00074729" w:rsidRPr="00E27370">
        <w:t>3</w:t>
      </w:r>
      <w:r w:rsidRPr="00E27370">
        <w:t xml:space="preserve"> to 201</w:t>
      </w:r>
      <w:r w:rsidR="00B8548F" w:rsidRPr="00E27370">
        <w:t>9</w:t>
      </w:r>
      <w:r w:rsidRPr="00E27370">
        <w:t xml:space="preserve">. </w:t>
      </w:r>
      <w:r w:rsidR="000726D6" w:rsidRPr="00E27370">
        <w:t>The</w:t>
      </w:r>
      <w:r w:rsidR="00CD5912" w:rsidRPr="00E27370">
        <w:t xml:space="preserve"> ATUS collects information on how Americans allocate their time to a variety of potential activities. Specifically, it asks individuals to sequentially report thei</w:t>
      </w:r>
      <w:r w:rsidR="000726D6" w:rsidRPr="00E27370">
        <w:t>r activity from 4 a.m. on the day before the interview to 4 a.m. on the day of the interview.</w:t>
      </w:r>
    </w:p>
    <w:p w14:paraId="28475AB1" w14:textId="44955C5E" w:rsidR="00843199" w:rsidRPr="00E27370" w:rsidRDefault="00A333D4" w:rsidP="00843199">
      <w:pPr>
        <w:ind w:firstLine="720"/>
      </w:pPr>
      <w:r w:rsidRPr="00E27370">
        <w:t>The ATUS is based on a subset of respondents to the Current Population Survey, which are then assigned a nationally representative weight. Since the ATUS is based on CPS respondents, we can collect a range of demographic variables for each respondent, which will be used to analyze sub-group trends.</w:t>
      </w:r>
      <w:r w:rsidR="00B8548F" w:rsidRPr="00E27370">
        <w:t xml:space="preserve"> </w:t>
      </w:r>
    </w:p>
    <w:p w14:paraId="31056102" w14:textId="4087E85F" w:rsidR="00843199" w:rsidRPr="00E27370" w:rsidRDefault="00843199" w:rsidP="00843199">
      <w:pPr>
        <w:ind w:firstLine="720"/>
      </w:pPr>
      <w:r w:rsidRPr="00E27370">
        <w:t xml:space="preserve">The dependent variables of interest are time spent on labor, and leisure, </w:t>
      </w:r>
    </w:p>
    <w:p w14:paraId="5D6484AD" w14:textId="2A2126BF" w:rsidR="00A333D4" w:rsidRPr="00E27370" w:rsidRDefault="00A333D4"/>
    <w:p w14:paraId="57B21249" w14:textId="77777777" w:rsidR="00D45074" w:rsidRPr="00E27370" w:rsidRDefault="00D45074" w:rsidP="00D45074">
      <w:r w:rsidRPr="00E27370">
        <w:t>Methodology:</w:t>
      </w:r>
    </w:p>
    <w:p w14:paraId="657455EE" w14:textId="006F0317" w:rsidR="00D45074" w:rsidRPr="00E27370" w:rsidRDefault="00D45074" w:rsidP="00D45074">
      <w:pPr>
        <w:ind w:firstLine="720"/>
      </w:pPr>
      <w:r w:rsidRPr="00E27370">
        <w:lastRenderedPageBreak/>
        <w:t xml:space="preserve">I will use a two-way fixed-effect framework, based on a difference-in-difference identification strategy. Following a similar methodology </w:t>
      </w:r>
      <w:r w:rsidR="00A03DC3" w:rsidRPr="00E27370">
        <w:t>as</w:t>
      </w:r>
      <w:r w:rsidRPr="00E27370">
        <w:t xml:space="preserve"> </w:t>
      </w:r>
      <w:proofErr w:type="spellStart"/>
      <w:r w:rsidR="009674CA" w:rsidRPr="00E27370">
        <w:t>Jergins</w:t>
      </w:r>
      <w:proofErr w:type="spellEnd"/>
      <w:r w:rsidRPr="00E27370">
        <w:t xml:space="preserve"> (20</w:t>
      </w:r>
      <w:r w:rsidR="009674CA" w:rsidRPr="00E27370">
        <w:t>22</w:t>
      </w:r>
      <w:r w:rsidRPr="00E27370">
        <w:t>), I will estimate the following model specification:</w:t>
      </w:r>
    </w:p>
    <w:p w14:paraId="3B117C61" w14:textId="77777777" w:rsidR="00D45074" w:rsidRPr="00E27370" w:rsidRDefault="00D45074" w:rsidP="00D45074">
      <w:pPr>
        <w:ind w:firstLine="720"/>
      </w:pPr>
    </w:p>
    <w:p w14:paraId="28DD64D0" w14:textId="02B6BEA2" w:rsidR="00D45074" w:rsidRPr="00E27370" w:rsidRDefault="000A0461" w:rsidP="00D45074">
      <w:pPr>
        <w:ind w:firstLine="72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RM</m:t>
          </m:r>
          <m:sSub>
            <m:sSubPr>
              <m:ctrlPr>
                <w:rPr>
                  <w:rFonts w:ascii="Cambria Math" w:hAnsi="Cambria Math"/>
                  <w:i/>
                </w:rPr>
              </m:ctrlPr>
            </m:sSubPr>
            <m:e>
              <m:r>
                <w:rPr>
                  <w:rFonts w:ascii="Cambria Math" w:hAnsi="Cambria Math"/>
                </w:rPr>
                <m:t>L</m:t>
              </m:r>
            </m:e>
            <m:sub>
              <m:r>
                <w:rPr>
                  <w:rFonts w:ascii="Cambria Math" w:hAnsi="Cambria Math"/>
                </w:rPr>
                <m:t>st</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ist</m:t>
              </m:r>
            </m:sub>
          </m:sSub>
          <m:r>
            <w:rPr>
              <w:rFonts w:ascii="Cambria Math" w:hAnsi="Cambria Math"/>
            </w:rPr>
            <m:t xml:space="preserve"> </m:t>
          </m:r>
          <m:sSub>
            <m:sSubPr>
              <m:ctrlPr>
                <w:rPr>
                  <w:rFonts w:ascii="Cambria Math" w:hAnsi="Cambria Math"/>
                  <w:i/>
                </w:rPr>
              </m:ctrlPr>
            </m:sSubPr>
            <m:e>
              <m:r>
                <w:rPr>
                  <w:rFonts w:ascii="Cambria Math" w:hAnsi="Cambria Math"/>
                </w:rPr>
                <m:t>+ 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ist</m:t>
              </m:r>
            </m:sub>
          </m:sSub>
        </m:oMath>
      </m:oMathPara>
    </w:p>
    <w:p w14:paraId="507155A8" w14:textId="011D4233" w:rsidR="00D45074" w:rsidRPr="00E27370" w:rsidRDefault="00D45074" w:rsidP="00D45074"/>
    <w:p w14:paraId="26EFDC8F" w14:textId="1EFDCF6E" w:rsidR="00D45074" w:rsidRPr="00E27370" w:rsidRDefault="00D45074" w:rsidP="00D45074">
      <w:pPr>
        <w:ind w:firstLine="720"/>
        <w:rPr>
          <w:rFonts w:eastAsiaTheme="minorEastAsia"/>
        </w:rPr>
      </w:pPr>
      <w:r w:rsidRPr="00E27370">
        <w:rPr>
          <w:rFonts w:eastAsiaTheme="minorEastAsia"/>
        </w:rPr>
        <w:t xml:space="preserve">Individuals are indexed by subscript </w:t>
      </w:r>
      <w:proofErr w:type="spellStart"/>
      <w:r w:rsidRPr="00E27370">
        <w:rPr>
          <w:rFonts w:ascii="Cambria" w:eastAsiaTheme="minorEastAsia" w:hAnsi="Cambria"/>
          <w:i/>
          <w:iCs/>
        </w:rPr>
        <w:t>i</w:t>
      </w:r>
      <w:proofErr w:type="spellEnd"/>
      <w:r w:rsidRPr="00E27370">
        <w:rPr>
          <w:rFonts w:eastAsiaTheme="minorEastAsia"/>
          <w:i/>
          <w:iCs/>
        </w:rPr>
        <w:t xml:space="preserve">, </w:t>
      </w:r>
      <w:r w:rsidRPr="00E27370">
        <w:rPr>
          <w:rFonts w:eastAsiaTheme="minorEastAsia"/>
        </w:rPr>
        <w:t xml:space="preserve">states are indexed by subscript </w:t>
      </w:r>
      <w:r w:rsidRPr="00E27370">
        <w:rPr>
          <w:rFonts w:eastAsiaTheme="minorEastAsia"/>
          <w:i/>
          <w:iCs/>
        </w:rPr>
        <w:t>s</w:t>
      </w:r>
      <w:r w:rsidRPr="00E27370">
        <w:rPr>
          <w:rFonts w:eastAsiaTheme="minorEastAsia"/>
        </w:rPr>
        <w:t xml:space="preserve">, and </w:t>
      </w:r>
      <w:r w:rsidRPr="00E27370">
        <w:rPr>
          <w:rFonts w:eastAsiaTheme="minorEastAsia"/>
          <w:i/>
          <w:iCs/>
        </w:rPr>
        <w:t>t</w:t>
      </w:r>
      <w:r w:rsidRPr="00E27370">
        <w:rPr>
          <w:rFonts w:eastAsiaTheme="minorEastAsia"/>
        </w:rPr>
        <w:t xml:space="preserve"> denotes the year/month that the survey was administered. </w:t>
      </w:r>
      <m:oMath>
        <m:sSub>
          <m:sSubPr>
            <m:ctrlPr>
              <w:rPr>
                <w:rFonts w:ascii="Cambria Math" w:hAnsi="Cambria Math"/>
                <w:i/>
              </w:rPr>
            </m:ctrlPr>
          </m:sSubPr>
          <m:e>
            <m:r>
              <w:rPr>
                <w:rFonts w:ascii="Cambria Math" w:hAnsi="Cambria Math"/>
              </w:rPr>
              <m:t>y</m:t>
            </m:r>
          </m:e>
          <m:sub>
            <m:r>
              <w:rPr>
                <w:rFonts w:ascii="Cambria Math" w:hAnsi="Cambria Math"/>
              </w:rPr>
              <m:t>ist</m:t>
            </m:r>
          </m:sub>
        </m:sSub>
      </m:oMath>
      <w:r w:rsidRPr="00E27370">
        <w:rPr>
          <w:rFonts w:eastAsiaTheme="minorEastAsia"/>
        </w:rPr>
        <w:t xml:space="preserve"> represents the outcome of interest, namely time spent on an activity of interest</w:t>
      </w:r>
      <w:r w:rsidR="009674CA" w:rsidRPr="00E27370">
        <w:rPr>
          <w:rFonts w:eastAsiaTheme="minorEastAsia"/>
        </w:rPr>
        <w:t xml:space="preserve"> or labor market status</w:t>
      </w:r>
      <w:r w:rsidRPr="00E27370">
        <w:rPr>
          <w:rFonts w:eastAsiaTheme="minorEastAsia"/>
        </w:rPr>
        <w:t xml:space="preserve">. </w:t>
      </w:r>
      <m:oMath>
        <m:r>
          <w:rPr>
            <w:rFonts w:ascii="Cambria Math" w:eastAsiaTheme="minorEastAsia" w:hAnsi="Cambria Math"/>
          </w:rPr>
          <m:t>R</m:t>
        </m:r>
        <m:r>
          <w:rPr>
            <w:rFonts w:ascii="Cambria Math" w:hAnsi="Cambria Math"/>
          </w:rPr>
          <m:t>M</m:t>
        </m:r>
        <m:sSub>
          <m:sSubPr>
            <m:ctrlPr>
              <w:rPr>
                <w:rFonts w:ascii="Cambria Math" w:hAnsi="Cambria Math"/>
                <w:i/>
              </w:rPr>
            </m:ctrlPr>
          </m:sSubPr>
          <m:e>
            <m:r>
              <w:rPr>
                <w:rFonts w:ascii="Cambria Math" w:hAnsi="Cambria Math"/>
              </w:rPr>
              <m:t>L</m:t>
            </m:r>
          </m:e>
          <m:sub>
            <m:r>
              <w:rPr>
                <w:rFonts w:ascii="Cambria Math" w:hAnsi="Cambria Math"/>
              </w:rPr>
              <m:t>st</m:t>
            </m:r>
          </m:sub>
        </m:sSub>
      </m:oMath>
      <w:r w:rsidRPr="00E27370">
        <w:rPr>
          <w:rFonts w:eastAsiaTheme="minorEastAsia"/>
        </w:rPr>
        <w:t xml:space="preserve"> is a binary variable equal to one if the </w:t>
      </w:r>
      <w:proofErr w:type="spellStart"/>
      <w:r w:rsidRPr="00E27370">
        <w:rPr>
          <w:rFonts w:eastAsiaTheme="minorEastAsia"/>
        </w:rPr>
        <w:t xml:space="preserve">state </w:t>
      </w:r>
      <w:r w:rsidRPr="00E27370">
        <w:rPr>
          <w:rFonts w:eastAsiaTheme="minorEastAsia"/>
          <w:i/>
          <w:iCs/>
        </w:rPr>
        <w:t>s</w:t>
      </w:r>
      <w:proofErr w:type="spellEnd"/>
      <w:r w:rsidRPr="00E27370">
        <w:rPr>
          <w:rFonts w:eastAsiaTheme="minorEastAsia"/>
        </w:rPr>
        <w:t xml:space="preserve"> had legalized recreational marijuana use at time </w:t>
      </w:r>
      <w:r w:rsidRPr="00E27370">
        <w:rPr>
          <w:rFonts w:eastAsiaTheme="minorEastAsia"/>
          <w:i/>
          <w:iCs/>
        </w:rPr>
        <w:t>t</w:t>
      </w:r>
      <w:r w:rsidRPr="00E2737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ist</m:t>
            </m:r>
          </m:sub>
        </m:sSub>
      </m:oMath>
      <w:r w:rsidRPr="00E27370">
        <w:rPr>
          <w:rFonts w:eastAsiaTheme="minorEastAsia"/>
        </w:rPr>
        <w:t xml:space="preserve"> is a vector of individual and state characteristics such as </w:t>
      </w:r>
      <w:r w:rsidRPr="00E27370">
        <w:rPr>
          <w:rFonts w:eastAsiaTheme="minorEastAsia"/>
        </w:rPr>
        <w:t xml:space="preserve">gender, age, </w:t>
      </w:r>
      <w:r w:rsidRPr="00E27370">
        <w:rPr>
          <w:rFonts w:eastAsiaTheme="minorEastAsia"/>
        </w:rPr>
        <w:t xml:space="preserve">ethnicity, marital status, children, education, etc. </w:t>
      </w:r>
      <m:oMath>
        <m:sSub>
          <m:sSubPr>
            <m:ctrlPr>
              <w:rPr>
                <w:rFonts w:ascii="Cambria Math" w:hAnsi="Cambria Math"/>
                <w:i/>
              </w:rPr>
            </m:ctrlPr>
          </m:sSubPr>
          <m:e>
            <m:r>
              <w:rPr>
                <w:rFonts w:ascii="Cambria Math" w:hAnsi="Cambria Math"/>
              </w:rPr>
              <m:t xml:space="preserve"> δ</m:t>
            </m:r>
          </m:e>
          <m:sub>
            <m:r>
              <w:rPr>
                <w:rFonts w:ascii="Cambria Math" w:hAnsi="Cambria Math"/>
              </w:rPr>
              <m:t>t</m:t>
            </m:r>
          </m:sub>
        </m:sSub>
      </m:oMath>
      <w:r w:rsidRPr="00E27370">
        <w:rPr>
          <w:rFonts w:eastAsiaTheme="minorEastAsia"/>
        </w:rPr>
        <w:t xml:space="preserve"> is a set of time fixed-effects which will account for omitted variables that are time-varying secular changes that have a consistent effect across all states, while </w:t>
      </w:r>
      <m:oMath>
        <m:sSub>
          <m:sSubPr>
            <m:ctrlPr>
              <w:rPr>
                <w:rFonts w:ascii="Cambria Math" w:hAnsi="Cambria Math"/>
                <w:i/>
              </w:rPr>
            </m:ctrlPr>
          </m:sSubPr>
          <m:e>
            <m:r>
              <w:rPr>
                <w:rFonts w:ascii="Cambria Math" w:hAnsi="Cambria Math"/>
              </w:rPr>
              <m:t>θ</m:t>
            </m:r>
          </m:e>
          <m:sub>
            <m:r>
              <w:rPr>
                <w:rFonts w:ascii="Cambria Math" w:hAnsi="Cambria Math"/>
              </w:rPr>
              <m:t>s</m:t>
            </m:r>
          </m:sub>
        </m:sSub>
      </m:oMath>
      <w:r w:rsidRPr="00E27370">
        <w:rPr>
          <w:rFonts w:eastAsiaTheme="minorEastAsia"/>
        </w:rPr>
        <w:t xml:space="preserve"> is a state fixed-effect which will control for time-invariant state-level covariates that are not otherwise controlled for in the model.</w:t>
      </w:r>
    </w:p>
    <w:p w14:paraId="1BFDEB95" w14:textId="536F3C50" w:rsidR="00D45074" w:rsidRPr="00E27370" w:rsidRDefault="00D45074" w:rsidP="00D45074">
      <w:pPr>
        <w:ind w:firstLine="720"/>
      </w:pPr>
      <w:r w:rsidRPr="00E27370">
        <w:t xml:space="preserve">The identifying assumption of the model is that after controlling for time and state fixed effects, the time-use trends between the treated states (those who have adopted RMLs) and control states (those who have not adopted RMLs) are parallel. </w:t>
      </w:r>
      <w:r w:rsidRPr="00E27370">
        <w:t>The set of controls will be limited to states which did not adopt RMLs during the study period to preclude comparisons</w:t>
      </w:r>
      <w:r w:rsidR="00662276" w:rsidRPr="00E27370">
        <w:t xml:space="preserve"> between groups that were both already treated, which can lead to biased estimators when treatment effects are heterogenous (Roth et al., 2022).</w:t>
      </w:r>
    </w:p>
    <w:p w14:paraId="746D044F" w14:textId="77777777" w:rsidR="00D45074" w:rsidRPr="00E27370" w:rsidRDefault="00D45074" w:rsidP="00D45074"/>
    <w:p w14:paraId="10ED92BC" w14:textId="774385B2" w:rsidR="00F90A85" w:rsidRPr="00E27370" w:rsidRDefault="00F90A85" w:rsidP="00D45074">
      <w:r w:rsidRPr="00E27370">
        <w:t>Outline:</w:t>
      </w:r>
    </w:p>
    <w:p w14:paraId="2F285F94" w14:textId="675BC7A3" w:rsidR="00F90A85" w:rsidRPr="00E27370" w:rsidRDefault="00F90A85"/>
    <w:p w14:paraId="47069773" w14:textId="2E7E36EF" w:rsidR="00D45074" w:rsidRPr="00E27370" w:rsidRDefault="00D45074" w:rsidP="00662276">
      <w:r w:rsidRPr="00E27370">
        <w:t xml:space="preserve">April 4-11 – </w:t>
      </w:r>
      <w:r w:rsidR="00662276" w:rsidRPr="00E27370">
        <w:t>Get feedback and make edits to methodology, c</w:t>
      </w:r>
      <w:r w:rsidRPr="00E27370">
        <w:t>ollect</w:t>
      </w:r>
      <w:r w:rsidR="00662276" w:rsidRPr="00E27370">
        <w:t xml:space="preserve"> and clean ATUS data,</w:t>
      </w:r>
      <w:r w:rsidR="00662276" w:rsidRPr="00E27370">
        <w:tab/>
      </w:r>
      <w:r w:rsidR="00662276" w:rsidRPr="00E27370">
        <w:tab/>
        <w:t>combine CPS respondent data with ATUS activity data</w:t>
      </w:r>
      <w:r w:rsidR="00E54274" w:rsidRPr="00E27370">
        <w:t>, consider alternative model specifications</w:t>
      </w:r>
    </w:p>
    <w:p w14:paraId="1AFB92E8" w14:textId="6483CECD" w:rsidR="00662276" w:rsidRPr="00E27370" w:rsidRDefault="00662276">
      <w:r w:rsidRPr="00E27370">
        <w:t>April 1</w:t>
      </w:r>
      <w:r w:rsidR="00E54274" w:rsidRPr="00E27370">
        <w:t>2</w:t>
      </w:r>
      <w:r w:rsidRPr="00E27370">
        <w:t>-1</w:t>
      </w:r>
      <w:r w:rsidR="00E54274" w:rsidRPr="00E27370">
        <w:t>9</w:t>
      </w:r>
      <w:r w:rsidRPr="00E27370">
        <w:t xml:space="preserve"> – </w:t>
      </w:r>
      <w:r w:rsidR="00843199" w:rsidRPr="00E27370">
        <w:t xml:space="preserve">Produce summary statistics tables, estimate </w:t>
      </w:r>
      <w:r w:rsidR="00E54274" w:rsidRPr="00E27370">
        <w:t xml:space="preserve">final </w:t>
      </w:r>
      <w:r w:rsidR="00843199" w:rsidRPr="00E27370">
        <w:t>model</w:t>
      </w:r>
      <w:r w:rsidR="00E54274" w:rsidRPr="00E27370">
        <w:t>s</w:t>
      </w:r>
    </w:p>
    <w:p w14:paraId="7157F0CC" w14:textId="3865FBC5" w:rsidR="00E54274" w:rsidRPr="00E27370" w:rsidRDefault="00E54274">
      <w:r w:rsidRPr="00E27370">
        <w:t>April 20-27 – Write-up of results,</w:t>
      </w:r>
      <w:r w:rsidR="00863D0D" w:rsidRPr="00E27370">
        <w:t xml:space="preserve"> edit paper</w:t>
      </w:r>
    </w:p>
    <w:p w14:paraId="3B788471" w14:textId="197DAEA8" w:rsidR="00863D0D" w:rsidRPr="00E27370" w:rsidRDefault="00863D0D"/>
    <w:p w14:paraId="05A22113" w14:textId="37DB98AA" w:rsidR="00863D0D" w:rsidRPr="00E27370" w:rsidRDefault="00863D0D"/>
    <w:p w14:paraId="7E7C8586" w14:textId="0A1B68BC" w:rsidR="00863D0D" w:rsidRPr="00E27370" w:rsidRDefault="00863D0D"/>
    <w:p w14:paraId="588D9BEF" w14:textId="4BA3FD09" w:rsidR="00863D0D" w:rsidRPr="00E27370" w:rsidRDefault="00863D0D"/>
    <w:p w14:paraId="6D2F1A9C" w14:textId="431CB26E" w:rsidR="00863D0D" w:rsidRPr="00E27370" w:rsidRDefault="00863D0D"/>
    <w:p w14:paraId="3EF60532" w14:textId="7F3223D4" w:rsidR="00863D0D" w:rsidRPr="00E27370" w:rsidRDefault="00863D0D"/>
    <w:p w14:paraId="419585F5" w14:textId="2040F148" w:rsidR="00863D0D" w:rsidRPr="00E27370" w:rsidRDefault="00863D0D"/>
    <w:p w14:paraId="7675127F" w14:textId="04538CF3" w:rsidR="00863D0D" w:rsidRPr="00E27370" w:rsidRDefault="00863D0D"/>
    <w:p w14:paraId="1452EEAB" w14:textId="4C9AC5ED" w:rsidR="00863D0D" w:rsidRPr="00E27370" w:rsidRDefault="00863D0D"/>
    <w:p w14:paraId="68A7EA97" w14:textId="4CF0684C" w:rsidR="00863D0D" w:rsidRPr="00E27370" w:rsidRDefault="00863D0D"/>
    <w:p w14:paraId="3DDDF723" w14:textId="075ED727" w:rsidR="00E27370" w:rsidRPr="00E27370" w:rsidRDefault="00E27370"/>
    <w:p w14:paraId="5C70BA0C" w14:textId="6B9E581E" w:rsidR="00E27370" w:rsidRPr="00E27370" w:rsidRDefault="00E27370"/>
    <w:p w14:paraId="34A7571B" w14:textId="12C58958" w:rsidR="00E27370" w:rsidRPr="00E27370" w:rsidRDefault="00E27370"/>
    <w:p w14:paraId="3F32A2FA" w14:textId="14A31888" w:rsidR="00E27370" w:rsidRPr="00E27370" w:rsidRDefault="00E27370"/>
    <w:p w14:paraId="4FF0C65D" w14:textId="62F6B706" w:rsidR="00E27370" w:rsidRPr="00E27370" w:rsidRDefault="00E27370"/>
    <w:p w14:paraId="2DD847D5" w14:textId="5D488A5F" w:rsidR="00E27370" w:rsidRPr="00E27370" w:rsidRDefault="00E27370"/>
    <w:p w14:paraId="7774FB9B" w14:textId="586605CF" w:rsidR="00863D0D" w:rsidRDefault="00863D0D"/>
    <w:p w14:paraId="5CF9B6C8" w14:textId="77777777" w:rsidR="00EE7333" w:rsidRPr="00E27370" w:rsidRDefault="00EE7333"/>
    <w:p w14:paraId="4F08DD2C" w14:textId="37299C38" w:rsidR="00E27370" w:rsidRPr="00E27370" w:rsidRDefault="00863D0D" w:rsidP="00E27370">
      <w:r w:rsidRPr="00E27370">
        <w:t>References</w:t>
      </w:r>
    </w:p>
    <w:p w14:paraId="2219AD7D" w14:textId="77777777" w:rsidR="00E27370" w:rsidRPr="00E27370" w:rsidRDefault="00E27370" w:rsidP="00E27370">
      <w:pPr>
        <w:ind w:left="720" w:hanging="720"/>
        <w:rPr>
          <w:sz w:val="21"/>
          <w:szCs w:val="21"/>
        </w:rPr>
      </w:pPr>
    </w:p>
    <w:p w14:paraId="4E215958" w14:textId="77777777" w:rsidR="00E27370" w:rsidRPr="00E27370" w:rsidRDefault="00E27370" w:rsidP="00E27370">
      <w:pPr>
        <w:ind w:left="720" w:hanging="720"/>
        <w:rPr>
          <w:sz w:val="21"/>
          <w:szCs w:val="21"/>
        </w:rPr>
      </w:pPr>
      <w:proofErr w:type="spellStart"/>
      <w:r w:rsidRPr="00E27370">
        <w:rPr>
          <w:color w:val="222222"/>
          <w:sz w:val="21"/>
          <w:szCs w:val="21"/>
          <w:shd w:val="clear" w:color="auto" w:fill="FFFFFF"/>
        </w:rPr>
        <w:t>Cerdá</w:t>
      </w:r>
      <w:proofErr w:type="spellEnd"/>
      <w:r w:rsidRPr="00E27370">
        <w:rPr>
          <w:color w:val="222222"/>
          <w:sz w:val="21"/>
          <w:szCs w:val="21"/>
          <w:shd w:val="clear" w:color="auto" w:fill="FFFFFF"/>
        </w:rPr>
        <w:t xml:space="preserve">, M., Mauro, C., Hamilton, A., Levy, N. S., </w:t>
      </w:r>
      <w:proofErr w:type="spellStart"/>
      <w:r w:rsidRPr="00E27370">
        <w:rPr>
          <w:color w:val="222222"/>
          <w:sz w:val="21"/>
          <w:szCs w:val="21"/>
          <w:shd w:val="clear" w:color="auto" w:fill="FFFFFF"/>
        </w:rPr>
        <w:t>Santaella</w:t>
      </w:r>
      <w:proofErr w:type="spellEnd"/>
      <w:r w:rsidRPr="00E27370">
        <w:rPr>
          <w:color w:val="222222"/>
          <w:sz w:val="21"/>
          <w:szCs w:val="21"/>
          <w:shd w:val="clear" w:color="auto" w:fill="FFFFFF"/>
        </w:rPr>
        <w:t xml:space="preserve">-Tenorio, J., </w:t>
      </w:r>
      <w:proofErr w:type="spellStart"/>
      <w:r w:rsidRPr="00E27370">
        <w:rPr>
          <w:color w:val="222222"/>
          <w:sz w:val="21"/>
          <w:szCs w:val="21"/>
          <w:shd w:val="clear" w:color="auto" w:fill="FFFFFF"/>
        </w:rPr>
        <w:t>Hasin</w:t>
      </w:r>
      <w:proofErr w:type="spellEnd"/>
      <w:r w:rsidRPr="00E27370">
        <w:rPr>
          <w:color w:val="222222"/>
          <w:sz w:val="21"/>
          <w:szCs w:val="21"/>
          <w:shd w:val="clear" w:color="auto" w:fill="FFFFFF"/>
        </w:rPr>
        <w:t>, D., ... &amp; Martins, S. S. (2020). Association between recreational marijuana legalization in the United States and changes in marijuana use and cannabis use disorder from 2008 to 2016. </w:t>
      </w:r>
      <w:r w:rsidRPr="00E27370">
        <w:rPr>
          <w:i/>
          <w:iCs/>
          <w:color w:val="222222"/>
          <w:sz w:val="21"/>
          <w:szCs w:val="21"/>
          <w:shd w:val="clear" w:color="auto" w:fill="FFFFFF"/>
        </w:rPr>
        <w:t>JAMA psychiatry</w:t>
      </w:r>
      <w:r w:rsidRPr="00E27370">
        <w:rPr>
          <w:color w:val="222222"/>
          <w:sz w:val="21"/>
          <w:szCs w:val="21"/>
          <w:shd w:val="clear" w:color="auto" w:fill="FFFFFF"/>
        </w:rPr>
        <w:t>, </w:t>
      </w:r>
      <w:r w:rsidRPr="00E27370">
        <w:rPr>
          <w:i/>
          <w:iCs/>
          <w:color w:val="222222"/>
          <w:sz w:val="21"/>
          <w:szCs w:val="21"/>
          <w:shd w:val="clear" w:color="auto" w:fill="FFFFFF"/>
        </w:rPr>
        <w:t>77</w:t>
      </w:r>
      <w:r w:rsidRPr="00E27370">
        <w:rPr>
          <w:color w:val="222222"/>
          <w:sz w:val="21"/>
          <w:szCs w:val="21"/>
          <w:shd w:val="clear" w:color="auto" w:fill="FFFFFF"/>
        </w:rPr>
        <w:t>(2), 165-171</w:t>
      </w:r>
    </w:p>
    <w:p w14:paraId="706D6300" w14:textId="77777777" w:rsidR="00E27370" w:rsidRPr="00E27370" w:rsidRDefault="00E27370" w:rsidP="00E27370">
      <w:pPr>
        <w:ind w:left="720" w:hanging="720"/>
        <w:rPr>
          <w:sz w:val="21"/>
          <w:szCs w:val="21"/>
        </w:rPr>
      </w:pPr>
      <w:r w:rsidRPr="00E27370">
        <w:rPr>
          <w:color w:val="222222"/>
          <w:sz w:val="21"/>
          <w:szCs w:val="21"/>
          <w:shd w:val="clear" w:color="auto" w:fill="FFFFFF"/>
        </w:rPr>
        <w:t xml:space="preserve">Chu, Y. W. L., &amp; </w:t>
      </w:r>
      <w:proofErr w:type="spellStart"/>
      <w:r w:rsidRPr="00E27370">
        <w:rPr>
          <w:color w:val="222222"/>
          <w:sz w:val="21"/>
          <w:szCs w:val="21"/>
          <w:shd w:val="clear" w:color="auto" w:fill="FFFFFF"/>
        </w:rPr>
        <w:t>Gershenson</w:t>
      </w:r>
      <w:proofErr w:type="spellEnd"/>
      <w:r w:rsidRPr="00E27370">
        <w:rPr>
          <w:color w:val="222222"/>
          <w:sz w:val="21"/>
          <w:szCs w:val="21"/>
          <w:shd w:val="clear" w:color="auto" w:fill="FFFFFF"/>
        </w:rPr>
        <w:t>, S. (2018). High times: The effect of medical marijuana laws on student time use. </w:t>
      </w:r>
      <w:r w:rsidRPr="00E27370">
        <w:rPr>
          <w:i/>
          <w:iCs/>
          <w:color w:val="222222"/>
          <w:sz w:val="21"/>
          <w:szCs w:val="21"/>
          <w:shd w:val="clear" w:color="auto" w:fill="FFFFFF"/>
        </w:rPr>
        <w:t>Economics of Education Review</w:t>
      </w:r>
      <w:r w:rsidRPr="00E27370">
        <w:rPr>
          <w:color w:val="222222"/>
          <w:sz w:val="21"/>
          <w:szCs w:val="21"/>
          <w:shd w:val="clear" w:color="auto" w:fill="FFFFFF"/>
        </w:rPr>
        <w:t>, </w:t>
      </w:r>
      <w:r w:rsidRPr="00E27370">
        <w:rPr>
          <w:i/>
          <w:iCs/>
          <w:color w:val="222222"/>
          <w:sz w:val="21"/>
          <w:szCs w:val="21"/>
          <w:shd w:val="clear" w:color="auto" w:fill="FFFFFF"/>
        </w:rPr>
        <w:t>66</w:t>
      </w:r>
      <w:r w:rsidRPr="00E27370">
        <w:rPr>
          <w:color w:val="222222"/>
          <w:sz w:val="21"/>
          <w:szCs w:val="21"/>
          <w:shd w:val="clear" w:color="auto" w:fill="FFFFFF"/>
        </w:rPr>
        <w:t>, 142-153.</w:t>
      </w:r>
    </w:p>
    <w:p w14:paraId="2F7BF5A1" w14:textId="77777777" w:rsidR="00E27370" w:rsidRPr="00E27370" w:rsidRDefault="00E27370" w:rsidP="00E27370">
      <w:pPr>
        <w:ind w:left="720" w:hanging="720"/>
        <w:rPr>
          <w:sz w:val="21"/>
          <w:szCs w:val="21"/>
        </w:rPr>
      </w:pPr>
      <w:r w:rsidRPr="00E27370">
        <w:rPr>
          <w:color w:val="222222"/>
          <w:sz w:val="21"/>
          <w:szCs w:val="21"/>
          <w:shd w:val="clear" w:color="auto" w:fill="FFFFFF"/>
        </w:rPr>
        <w:t>Ghimire, K. M., &amp; Maclean, J. C. (2020). Medical marijuana and workers' compensation claiming. </w:t>
      </w:r>
      <w:r w:rsidRPr="00E27370">
        <w:rPr>
          <w:i/>
          <w:iCs/>
          <w:color w:val="222222"/>
          <w:sz w:val="21"/>
          <w:szCs w:val="21"/>
          <w:shd w:val="clear" w:color="auto" w:fill="FFFFFF"/>
        </w:rPr>
        <w:t>Health economics</w:t>
      </w:r>
      <w:r w:rsidRPr="00E27370">
        <w:rPr>
          <w:color w:val="222222"/>
          <w:sz w:val="21"/>
          <w:szCs w:val="21"/>
          <w:shd w:val="clear" w:color="auto" w:fill="FFFFFF"/>
        </w:rPr>
        <w:t>, </w:t>
      </w:r>
      <w:r w:rsidRPr="00E27370">
        <w:rPr>
          <w:i/>
          <w:iCs/>
          <w:color w:val="222222"/>
          <w:sz w:val="21"/>
          <w:szCs w:val="21"/>
          <w:shd w:val="clear" w:color="auto" w:fill="FFFFFF"/>
        </w:rPr>
        <w:t>29</w:t>
      </w:r>
      <w:r w:rsidRPr="00E27370">
        <w:rPr>
          <w:color w:val="222222"/>
          <w:sz w:val="21"/>
          <w:szCs w:val="21"/>
          <w:shd w:val="clear" w:color="auto" w:fill="FFFFFF"/>
        </w:rPr>
        <w:t>(4), 419-434.</w:t>
      </w:r>
    </w:p>
    <w:p w14:paraId="418AFA6E" w14:textId="77777777" w:rsidR="00E27370" w:rsidRPr="00E27370" w:rsidRDefault="00E27370" w:rsidP="00E27370">
      <w:pPr>
        <w:ind w:left="720" w:hanging="720"/>
        <w:rPr>
          <w:sz w:val="21"/>
          <w:szCs w:val="21"/>
        </w:rPr>
      </w:pPr>
      <w:proofErr w:type="spellStart"/>
      <w:r w:rsidRPr="00E27370">
        <w:rPr>
          <w:color w:val="222222"/>
          <w:sz w:val="21"/>
          <w:szCs w:val="21"/>
          <w:shd w:val="clear" w:color="auto" w:fill="FFFFFF"/>
        </w:rPr>
        <w:t>Jergins</w:t>
      </w:r>
      <w:proofErr w:type="spellEnd"/>
      <w:r w:rsidRPr="00E27370">
        <w:rPr>
          <w:color w:val="222222"/>
          <w:sz w:val="21"/>
          <w:szCs w:val="21"/>
          <w:shd w:val="clear" w:color="auto" w:fill="FFFFFF"/>
        </w:rPr>
        <w:t xml:space="preserve">, W. (2022). The effect of marijuana on </w:t>
      </w:r>
      <w:proofErr w:type="spellStart"/>
      <w:r w:rsidRPr="00E27370">
        <w:rPr>
          <w:color w:val="222222"/>
          <w:sz w:val="21"/>
          <w:szCs w:val="21"/>
          <w:shd w:val="clear" w:color="auto" w:fill="FFFFFF"/>
        </w:rPr>
        <w:t>labour</w:t>
      </w:r>
      <w:proofErr w:type="spellEnd"/>
      <w:r w:rsidRPr="00E27370">
        <w:rPr>
          <w:color w:val="222222"/>
          <w:sz w:val="21"/>
          <w:szCs w:val="21"/>
          <w:shd w:val="clear" w:color="auto" w:fill="FFFFFF"/>
        </w:rPr>
        <w:t xml:space="preserve"> market outcomes: evidence from medical marijuana laws. </w:t>
      </w:r>
      <w:r w:rsidRPr="00E27370">
        <w:rPr>
          <w:i/>
          <w:iCs/>
          <w:color w:val="222222"/>
          <w:sz w:val="21"/>
          <w:szCs w:val="21"/>
          <w:shd w:val="clear" w:color="auto" w:fill="FFFFFF"/>
        </w:rPr>
        <w:t>Applied Economics</w:t>
      </w:r>
      <w:r w:rsidRPr="00E27370">
        <w:rPr>
          <w:color w:val="222222"/>
          <w:sz w:val="21"/>
          <w:szCs w:val="21"/>
          <w:shd w:val="clear" w:color="auto" w:fill="FFFFFF"/>
        </w:rPr>
        <w:t>, </w:t>
      </w:r>
      <w:r w:rsidRPr="00E27370">
        <w:rPr>
          <w:i/>
          <w:iCs/>
          <w:color w:val="222222"/>
          <w:sz w:val="21"/>
          <w:szCs w:val="21"/>
          <w:shd w:val="clear" w:color="auto" w:fill="FFFFFF"/>
        </w:rPr>
        <w:t>54</w:t>
      </w:r>
      <w:r w:rsidRPr="00E27370">
        <w:rPr>
          <w:color w:val="222222"/>
          <w:sz w:val="21"/>
          <w:szCs w:val="21"/>
          <w:shd w:val="clear" w:color="auto" w:fill="FFFFFF"/>
        </w:rPr>
        <w:t>(18), 2077-2108.</w:t>
      </w:r>
    </w:p>
    <w:p w14:paraId="0BB618BE" w14:textId="77777777" w:rsidR="00E27370" w:rsidRPr="00E27370" w:rsidRDefault="00E27370" w:rsidP="00E27370">
      <w:pPr>
        <w:ind w:left="720" w:hanging="720"/>
        <w:rPr>
          <w:sz w:val="21"/>
          <w:szCs w:val="21"/>
        </w:rPr>
      </w:pPr>
      <w:r w:rsidRPr="00E27370">
        <w:rPr>
          <w:color w:val="222222"/>
          <w:sz w:val="21"/>
          <w:szCs w:val="21"/>
          <w:shd w:val="clear" w:color="auto" w:fill="FFFFFF"/>
        </w:rPr>
        <w:t>Miller, A. M., Rosenman, R., &amp; Cowan, B. W. (2017). Recreational marijuana legalization and college student use: Early evidence. </w:t>
      </w:r>
      <w:r w:rsidRPr="00E27370">
        <w:rPr>
          <w:i/>
          <w:iCs/>
          <w:color w:val="222222"/>
          <w:sz w:val="21"/>
          <w:szCs w:val="21"/>
          <w:shd w:val="clear" w:color="auto" w:fill="FFFFFF"/>
        </w:rPr>
        <w:t>SSM-Population Health</w:t>
      </w:r>
      <w:r w:rsidRPr="00E27370">
        <w:rPr>
          <w:color w:val="222222"/>
          <w:sz w:val="21"/>
          <w:szCs w:val="21"/>
          <w:shd w:val="clear" w:color="auto" w:fill="FFFFFF"/>
        </w:rPr>
        <w:t>, </w:t>
      </w:r>
      <w:r w:rsidRPr="00E27370">
        <w:rPr>
          <w:i/>
          <w:iCs/>
          <w:color w:val="222222"/>
          <w:sz w:val="21"/>
          <w:szCs w:val="21"/>
          <w:shd w:val="clear" w:color="auto" w:fill="FFFFFF"/>
        </w:rPr>
        <w:t>3</w:t>
      </w:r>
      <w:r w:rsidRPr="00E27370">
        <w:rPr>
          <w:color w:val="222222"/>
          <w:sz w:val="21"/>
          <w:szCs w:val="21"/>
          <w:shd w:val="clear" w:color="auto" w:fill="FFFFFF"/>
        </w:rPr>
        <w:t>, 649-657.</w:t>
      </w:r>
    </w:p>
    <w:p w14:paraId="63DFEF23" w14:textId="77777777" w:rsidR="00E27370" w:rsidRPr="00E27370" w:rsidRDefault="00E27370" w:rsidP="00E27370">
      <w:pPr>
        <w:ind w:left="720" w:hanging="720"/>
        <w:rPr>
          <w:sz w:val="21"/>
          <w:szCs w:val="21"/>
        </w:rPr>
      </w:pPr>
      <w:r w:rsidRPr="00E27370">
        <w:rPr>
          <w:color w:val="222222"/>
          <w:sz w:val="21"/>
          <w:szCs w:val="21"/>
          <w:shd w:val="clear" w:color="auto" w:fill="FFFFFF"/>
        </w:rPr>
        <w:t>Nicholas, L. H., &amp; Maclean, J. C. (2019). The effect of medical marijuana laws on the health and labor supply of older adults: Evidence from the health and retirement study. </w:t>
      </w:r>
      <w:r w:rsidRPr="00E27370">
        <w:rPr>
          <w:i/>
          <w:iCs/>
          <w:color w:val="222222"/>
          <w:sz w:val="21"/>
          <w:szCs w:val="21"/>
          <w:shd w:val="clear" w:color="auto" w:fill="FFFFFF"/>
        </w:rPr>
        <w:t>Journal of Policy Analysis and Management</w:t>
      </w:r>
      <w:r w:rsidRPr="00E27370">
        <w:rPr>
          <w:color w:val="222222"/>
          <w:sz w:val="21"/>
          <w:szCs w:val="21"/>
          <w:shd w:val="clear" w:color="auto" w:fill="FFFFFF"/>
        </w:rPr>
        <w:t>, </w:t>
      </w:r>
      <w:r w:rsidRPr="00E27370">
        <w:rPr>
          <w:i/>
          <w:iCs/>
          <w:color w:val="222222"/>
          <w:sz w:val="21"/>
          <w:szCs w:val="21"/>
          <w:shd w:val="clear" w:color="auto" w:fill="FFFFFF"/>
        </w:rPr>
        <w:t>38</w:t>
      </w:r>
      <w:r w:rsidRPr="00E27370">
        <w:rPr>
          <w:color w:val="222222"/>
          <w:sz w:val="21"/>
          <w:szCs w:val="21"/>
          <w:shd w:val="clear" w:color="auto" w:fill="FFFFFF"/>
        </w:rPr>
        <w:t>(2), 455-480.</w:t>
      </w:r>
    </w:p>
    <w:p w14:paraId="20E601CF" w14:textId="77777777" w:rsidR="00E27370" w:rsidRPr="00863D0D" w:rsidRDefault="00E27370" w:rsidP="00E27370">
      <w:pPr>
        <w:ind w:left="720" w:hanging="720"/>
        <w:rPr>
          <w:sz w:val="21"/>
          <w:szCs w:val="21"/>
        </w:rPr>
      </w:pPr>
      <w:r w:rsidRPr="00863D0D">
        <w:rPr>
          <w:color w:val="222222"/>
          <w:sz w:val="21"/>
          <w:szCs w:val="21"/>
          <w:shd w:val="clear" w:color="auto" w:fill="FFFFFF"/>
        </w:rPr>
        <w:t xml:space="preserve">Roth, J., </w:t>
      </w:r>
      <w:proofErr w:type="spellStart"/>
      <w:r w:rsidRPr="00863D0D">
        <w:rPr>
          <w:color w:val="222222"/>
          <w:sz w:val="21"/>
          <w:szCs w:val="21"/>
          <w:shd w:val="clear" w:color="auto" w:fill="FFFFFF"/>
        </w:rPr>
        <w:t>Sant'Anna</w:t>
      </w:r>
      <w:proofErr w:type="spellEnd"/>
      <w:r w:rsidRPr="00863D0D">
        <w:rPr>
          <w:color w:val="222222"/>
          <w:sz w:val="21"/>
          <w:szCs w:val="21"/>
          <w:shd w:val="clear" w:color="auto" w:fill="FFFFFF"/>
        </w:rPr>
        <w:t xml:space="preserve">, P. H., </w:t>
      </w:r>
      <w:proofErr w:type="spellStart"/>
      <w:r w:rsidRPr="00863D0D">
        <w:rPr>
          <w:color w:val="222222"/>
          <w:sz w:val="21"/>
          <w:szCs w:val="21"/>
          <w:shd w:val="clear" w:color="auto" w:fill="FFFFFF"/>
        </w:rPr>
        <w:t>Bilinski</w:t>
      </w:r>
      <w:proofErr w:type="spellEnd"/>
      <w:r w:rsidRPr="00863D0D">
        <w:rPr>
          <w:color w:val="222222"/>
          <w:sz w:val="21"/>
          <w:szCs w:val="21"/>
          <w:shd w:val="clear" w:color="auto" w:fill="FFFFFF"/>
        </w:rPr>
        <w:t>, A., &amp; Poe, J. (2022). What's Trending in Difference-in-Differences? A Synthesis of the Recent Econometrics Literature. </w:t>
      </w:r>
      <w:proofErr w:type="spellStart"/>
      <w:r w:rsidRPr="00863D0D">
        <w:rPr>
          <w:i/>
          <w:iCs/>
          <w:color w:val="222222"/>
          <w:sz w:val="21"/>
          <w:szCs w:val="21"/>
          <w:shd w:val="clear" w:color="auto" w:fill="FFFFFF"/>
        </w:rPr>
        <w:t>arXiv</w:t>
      </w:r>
      <w:proofErr w:type="spellEnd"/>
      <w:r w:rsidRPr="00863D0D">
        <w:rPr>
          <w:i/>
          <w:iCs/>
          <w:color w:val="222222"/>
          <w:sz w:val="21"/>
          <w:szCs w:val="21"/>
          <w:shd w:val="clear" w:color="auto" w:fill="FFFFFF"/>
        </w:rPr>
        <w:t xml:space="preserve"> preprint arXiv:2201.01194</w:t>
      </w:r>
      <w:r w:rsidRPr="00863D0D">
        <w:rPr>
          <w:color w:val="222222"/>
          <w:sz w:val="21"/>
          <w:szCs w:val="21"/>
          <w:shd w:val="clear" w:color="auto" w:fill="FFFFFF"/>
        </w:rPr>
        <w:t>.</w:t>
      </w:r>
    </w:p>
    <w:p w14:paraId="32E031D9" w14:textId="77777777" w:rsidR="00E27370" w:rsidRPr="00E27370" w:rsidRDefault="00E27370" w:rsidP="00E27370">
      <w:pPr>
        <w:ind w:left="720" w:hanging="720"/>
        <w:rPr>
          <w:sz w:val="21"/>
          <w:szCs w:val="21"/>
        </w:rPr>
      </w:pPr>
      <w:r w:rsidRPr="00E27370">
        <w:rPr>
          <w:color w:val="222222"/>
          <w:sz w:val="21"/>
          <w:szCs w:val="21"/>
          <w:shd w:val="clear" w:color="auto" w:fill="FFFFFF"/>
        </w:rPr>
        <w:t>Ullman, D. F. (2017). The effect of medical marijuana on sickness absence. </w:t>
      </w:r>
      <w:r w:rsidRPr="00E27370">
        <w:rPr>
          <w:i/>
          <w:iCs/>
          <w:color w:val="222222"/>
          <w:sz w:val="21"/>
          <w:szCs w:val="21"/>
          <w:shd w:val="clear" w:color="auto" w:fill="FFFFFF"/>
        </w:rPr>
        <w:t>Health economics</w:t>
      </w:r>
      <w:r w:rsidRPr="00E27370">
        <w:rPr>
          <w:color w:val="222222"/>
          <w:sz w:val="21"/>
          <w:szCs w:val="21"/>
          <w:shd w:val="clear" w:color="auto" w:fill="FFFFFF"/>
        </w:rPr>
        <w:t>, </w:t>
      </w:r>
      <w:r w:rsidRPr="00E27370">
        <w:rPr>
          <w:i/>
          <w:iCs/>
          <w:color w:val="222222"/>
          <w:sz w:val="21"/>
          <w:szCs w:val="21"/>
          <w:shd w:val="clear" w:color="auto" w:fill="FFFFFF"/>
        </w:rPr>
        <w:t>26</w:t>
      </w:r>
      <w:r w:rsidRPr="00E27370">
        <w:rPr>
          <w:color w:val="222222"/>
          <w:sz w:val="21"/>
          <w:szCs w:val="21"/>
          <w:shd w:val="clear" w:color="auto" w:fill="FFFFFF"/>
        </w:rPr>
        <w:t>(10), 1322-1327.</w:t>
      </w:r>
    </w:p>
    <w:p w14:paraId="5DE52EE4" w14:textId="77777777" w:rsidR="00E27370" w:rsidRPr="00E27370" w:rsidRDefault="00E27370" w:rsidP="00E27370">
      <w:pPr>
        <w:ind w:left="720" w:hanging="720"/>
        <w:rPr>
          <w:sz w:val="21"/>
          <w:szCs w:val="21"/>
        </w:rPr>
      </w:pPr>
      <w:r w:rsidRPr="00E27370">
        <w:rPr>
          <w:color w:val="222222"/>
          <w:sz w:val="21"/>
          <w:szCs w:val="21"/>
          <w:shd w:val="clear" w:color="auto" w:fill="FFFFFF"/>
        </w:rPr>
        <w:t>Van Ours, J. C., &amp; Williams, J. (2015). Cannabis use and its effects on health, education and labor market success. </w:t>
      </w:r>
      <w:r w:rsidRPr="00E27370">
        <w:rPr>
          <w:i/>
          <w:iCs/>
          <w:color w:val="222222"/>
          <w:sz w:val="21"/>
          <w:szCs w:val="21"/>
          <w:shd w:val="clear" w:color="auto" w:fill="FFFFFF"/>
        </w:rPr>
        <w:t>Journal of Economic Surveys</w:t>
      </w:r>
      <w:r w:rsidRPr="00E27370">
        <w:rPr>
          <w:color w:val="222222"/>
          <w:sz w:val="21"/>
          <w:szCs w:val="21"/>
          <w:shd w:val="clear" w:color="auto" w:fill="FFFFFF"/>
        </w:rPr>
        <w:t>, </w:t>
      </w:r>
      <w:r w:rsidRPr="00E27370">
        <w:rPr>
          <w:i/>
          <w:iCs/>
          <w:color w:val="222222"/>
          <w:sz w:val="21"/>
          <w:szCs w:val="21"/>
          <w:shd w:val="clear" w:color="auto" w:fill="FFFFFF"/>
        </w:rPr>
        <w:t>29</w:t>
      </w:r>
      <w:r w:rsidRPr="00E27370">
        <w:rPr>
          <w:color w:val="222222"/>
          <w:sz w:val="21"/>
          <w:szCs w:val="21"/>
          <w:shd w:val="clear" w:color="auto" w:fill="FFFFFF"/>
        </w:rPr>
        <w:t>(5), 993-1010</w:t>
      </w:r>
    </w:p>
    <w:p w14:paraId="3C44D199" w14:textId="77777777" w:rsidR="00E27370" w:rsidRPr="00E27370" w:rsidRDefault="00E27370" w:rsidP="00E27370">
      <w:pPr>
        <w:ind w:left="720" w:hanging="720"/>
        <w:rPr>
          <w:sz w:val="21"/>
          <w:szCs w:val="21"/>
        </w:rPr>
      </w:pPr>
      <w:r w:rsidRPr="00E27370">
        <w:rPr>
          <w:color w:val="222222"/>
          <w:sz w:val="21"/>
          <w:szCs w:val="21"/>
          <w:shd w:val="clear" w:color="auto" w:fill="FFFFFF"/>
        </w:rPr>
        <w:t xml:space="preserve">Volkow, N. D., Swanson, J. M., </w:t>
      </w:r>
      <w:proofErr w:type="spellStart"/>
      <w:r w:rsidRPr="00E27370">
        <w:rPr>
          <w:color w:val="222222"/>
          <w:sz w:val="21"/>
          <w:szCs w:val="21"/>
          <w:shd w:val="clear" w:color="auto" w:fill="FFFFFF"/>
        </w:rPr>
        <w:t>Evins</w:t>
      </w:r>
      <w:proofErr w:type="spellEnd"/>
      <w:r w:rsidRPr="00E27370">
        <w:rPr>
          <w:color w:val="222222"/>
          <w:sz w:val="21"/>
          <w:szCs w:val="21"/>
          <w:shd w:val="clear" w:color="auto" w:fill="FFFFFF"/>
        </w:rPr>
        <w:t xml:space="preserve">, A. E., </w:t>
      </w:r>
      <w:proofErr w:type="spellStart"/>
      <w:r w:rsidRPr="00E27370">
        <w:rPr>
          <w:color w:val="222222"/>
          <w:sz w:val="21"/>
          <w:szCs w:val="21"/>
          <w:shd w:val="clear" w:color="auto" w:fill="FFFFFF"/>
        </w:rPr>
        <w:t>DeLisi</w:t>
      </w:r>
      <w:proofErr w:type="spellEnd"/>
      <w:r w:rsidRPr="00E27370">
        <w:rPr>
          <w:color w:val="222222"/>
          <w:sz w:val="21"/>
          <w:szCs w:val="21"/>
          <w:shd w:val="clear" w:color="auto" w:fill="FFFFFF"/>
        </w:rPr>
        <w:t>, L. E., Meier, M. H., Gonzalez, R., ... &amp; Baler, R. (2016). Effects of cannabis use on human behavior, including cognition, motivation, and psychosis: a review. </w:t>
      </w:r>
      <w:r w:rsidRPr="00E27370">
        <w:rPr>
          <w:i/>
          <w:iCs/>
          <w:color w:val="222222"/>
          <w:sz w:val="21"/>
          <w:szCs w:val="21"/>
          <w:shd w:val="clear" w:color="auto" w:fill="FFFFFF"/>
        </w:rPr>
        <w:t>JAMA psychiatry</w:t>
      </w:r>
      <w:r w:rsidRPr="00E27370">
        <w:rPr>
          <w:color w:val="222222"/>
          <w:sz w:val="21"/>
          <w:szCs w:val="21"/>
          <w:shd w:val="clear" w:color="auto" w:fill="FFFFFF"/>
        </w:rPr>
        <w:t>, </w:t>
      </w:r>
      <w:r w:rsidRPr="00E27370">
        <w:rPr>
          <w:i/>
          <w:iCs/>
          <w:color w:val="222222"/>
          <w:sz w:val="21"/>
          <w:szCs w:val="21"/>
          <w:shd w:val="clear" w:color="auto" w:fill="FFFFFF"/>
        </w:rPr>
        <w:t>73</w:t>
      </w:r>
      <w:r w:rsidRPr="00E27370">
        <w:rPr>
          <w:color w:val="222222"/>
          <w:sz w:val="21"/>
          <w:szCs w:val="21"/>
          <w:shd w:val="clear" w:color="auto" w:fill="FFFFFF"/>
        </w:rPr>
        <w:t>(3), 292-297.</w:t>
      </w:r>
    </w:p>
    <w:sectPr w:rsidR="00E27370" w:rsidRPr="00E273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8423" w14:textId="77777777" w:rsidR="003D3B09" w:rsidRDefault="003D3B09" w:rsidP="00020E4B">
      <w:r>
        <w:separator/>
      </w:r>
    </w:p>
  </w:endnote>
  <w:endnote w:type="continuationSeparator" w:id="0">
    <w:p w14:paraId="2600054C" w14:textId="77777777" w:rsidR="003D3B09" w:rsidRDefault="003D3B09" w:rsidP="00020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8F9D" w14:textId="77777777" w:rsidR="003D3B09" w:rsidRDefault="003D3B09" w:rsidP="00020E4B">
      <w:r>
        <w:separator/>
      </w:r>
    </w:p>
  </w:footnote>
  <w:footnote w:type="continuationSeparator" w:id="0">
    <w:p w14:paraId="0699C3FD" w14:textId="77777777" w:rsidR="003D3B09" w:rsidRDefault="003D3B09" w:rsidP="00020E4B">
      <w:r>
        <w:continuationSeparator/>
      </w:r>
    </w:p>
  </w:footnote>
  <w:footnote w:id="1">
    <w:p w14:paraId="6F553B46" w14:textId="51492D59" w:rsidR="00020E4B" w:rsidRDefault="00020E4B">
      <w:pPr>
        <w:pStyle w:val="FootnoteText"/>
      </w:pPr>
      <w:r>
        <w:rPr>
          <w:rStyle w:val="FootnoteReference"/>
        </w:rPr>
        <w:footnoteRef/>
      </w:r>
      <w:r>
        <w:t xml:space="preserve"> </w:t>
      </w:r>
      <w:r w:rsidRPr="00020E4B">
        <w:t>https://www.pewresearch.org/fact-tank/2019/11/14/americans-support-marijuana-legalization/</w:t>
      </w:r>
    </w:p>
  </w:footnote>
  <w:footnote w:id="2">
    <w:p w14:paraId="72C7E6B4" w14:textId="77777777" w:rsidR="00DA7108" w:rsidRDefault="00DA7108" w:rsidP="00DA7108">
      <w:pPr>
        <w:pStyle w:val="FootnoteText"/>
      </w:pPr>
      <w:r>
        <w:rPr>
          <w:rStyle w:val="FootnoteReference"/>
        </w:rPr>
        <w:footnoteRef/>
      </w:r>
      <w:r>
        <w:t xml:space="preserve"> </w:t>
      </w:r>
      <w:r w:rsidRPr="00DA7108">
        <w:t>https://www.nber.org/system/files/working_papers/w28471/w28471.pdf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33C2" w14:textId="5F1F346D" w:rsidR="00E27370" w:rsidRDefault="00E27370">
    <w:pPr>
      <w:pStyle w:val="Header"/>
    </w:pPr>
    <w:r>
      <w:t xml:space="preserve">Julian </w:t>
    </w:r>
    <w:proofErr w:type="spellStart"/>
    <w:r>
      <w:t>Sauvage</w:t>
    </w:r>
    <w:proofErr w:type="spellEnd"/>
  </w:p>
  <w:p w14:paraId="4B2B2F4F" w14:textId="00ED2F49" w:rsidR="00E27370" w:rsidRDefault="00E27370">
    <w:pPr>
      <w:pStyle w:val="Header"/>
    </w:pPr>
    <w:r>
      <w:t>Project Proposal</w:t>
    </w:r>
  </w:p>
  <w:p w14:paraId="263BBC18" w14:textId="45786636" w:rsidR="00821770" w:rsidRDefault="00821770">
    <w:pPr>
      <w:pStyle w:val="Header"/>
    </w:pPr>
    <w:r>
      <w:t>Econ 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A2095"/>
    <w:multiLevelType w:val="hybridMultilevel"/>
    <w:tmpl w:val="444C8008"/>
    <w:lvl w:ilvl="0" w:tplc="257EBC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72CCA"/>
    <w:multiLevelType w:val="hybridMultilevel"/>
    <w:tmpl w:val="6B66B7EC"/>
    <w:lvl w:ilvl="0" w:tplc="90EC4F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85"/>
    <w:rsid w:val="00005C6D"/>
    <w:rsid w:val="00020E4B"/>
    <w:rsid w:val="000726D6"/>
    <w:rsid w:val="00074729"/>
    <w:rsid w:val="00096466"/>
    <w:rsid w:val="000A0461"/>
    <w:rsid w:val="000D374F"/>
    <w:rsid w:val="001646A8"/>
    <w:rsid w:val="002855B0"/>
    <w:rsid w:val="002A0C27"/>
    <w:rsid w:val="002B12CF"/>
    <w:rsid w:val="002D6336"/>
    <w:rsid w:val="002E5055"/>
    <w:rsid w:val="002F1A43"/>
    <w:rsid w:val="0037521A"/>
    <w:rsid w:val="00390AF7"/>
    <w:rsid w:val="003D3B09"/>
    <w:rsid w:val="00404125"/>
    <w:rsid w:val="004939D4"/>
    <w:rsid w:val="004F6A0E"/>
    <w:rsid w:val="0065685A"/>
    <w:rsid w:val="00662276"/>
    <w:rsid w:val="006A71A2"/>
    <w:rsid w:val="007706D0"/>
    <w:rsid w:val="00786133"/>
    <w:rsid w:val="00792653"/>
    <w:rsid w:val="0079329E"/>
    <w:rsid w:val="00793760"/>
    <w:rsid w:val="007974A1"/>
    <w:rsid w:val="008208EA"/>
    <w:rsid w:val="00821770"/>
    <w:rsid w:val="00843199"/>
    <w:rsid w:val="00863D0D"/>
    <w:rsid w:val="00893977"/>
    <w:rsid w:val="008C79BB"/>
    <w:rsid w:val="00965E4F"/>
    <w:rsid w:val="009674CA"/>
    <w:rsid w:val="00A03DC3"/>
    <w:rsid w:val="00A229BC"/>
    <w:rsid w:val="00A333D4"/>
    <w:rsid w:val="00A45A97"/>
    <w:rsid w:val="00AA2074"/>
    <w:rsid w:val="00AB2CA2"/>
    <w:rsid w:val="00AF2660"/>
    <w:rsid w:val="00B159AF"/>
    <w:rsid w:val="00B8548F"/>
    <w:rsid w:val="00B91231"/>
    <w:rsid w:val="00BF1D28"/>
    <w:rsid w:val="00BF4B8A"/>
    <w:rsid w:val="00C163FB"/>
    <w:rsid w:val="00CD5912"/>
    <w:rsid w:val="00CF55E5"/>
    <w:rsid w:val="00D354D6"/>
    <w:rsid w:val="00D45074"/>
    <w:rsid w:val="00DA207A"/>
    <w:rsid w:val="00DA7108"/>
    <w:rsid w:val="00DF51EE"/>
    <w:rsid w:val="00E27370"/>
    <w:rsid w:val="00E46719"/>
    <w:rsid w:val="00E4748E"/>
    <w:rsid w:val="00E54274"/>
    <w:rsid w:val="00E6111A"/>
    <w:rsid w:val="00E74B24"/>
    <w:rsid w:val="00E803EE"/>
    <w:rsid w:val="00EC478F"/>
    <w:rsid w:val="00EE6D28"/>
    <w:rsid w:val="00EE7333"/>
    <w:rsid w:val="00F410B0"/>
    <w:rsid w:val="00F90A85"/>
    <w:rsid w:val="00FC5E41"/>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C21AB"/>
  <w15:chartTrackingRefBased/>
  <w15:docId w15:val="{EAE48902-C407-3446-860E-E7265892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20E4B"/>
    <w:rPr>
      <w:sz w:val="20"/>
      <w:szCs w:val="20"/>
    </w:rPr>
  </w:style>
  <w:style w:type="character" w:customStyle="1" w:styleId="FootnoteTextChar">
    <w:name w:val="Footnote Text Char"/>
    <w:basedOn w:val="DefaultParagraphFont"/>
    <w:link w:val="FootnoteText"/>
    <w:uiPriority w:val="99"/>
    <w:semiHidden/>
    <w:rsid w:val="00020E4B"/>
    <w:rPr>
      <w:sz w:val="20"/>
      <w:szCs w:val="20"/>
    </w:rPr>
  </w:style>
  <w:style w:type="character" w:styleId="FootnoteReference">
    <w:name w:val="footnote reference"/>
    <w:basedOn w:val="DefaultParagraphFont"/>
    <w:uiPriority w:val="99"/>
    <w:semiHidden/>
    <w:unhideWhenUsed/>
    <w:rsid w:val="00020E4B"/>
    <w:rPr>
      <w:vertAlign w:val="superscript"/>
    </w:rPr>
  </w:style>
  <w:style w:type="paragraph" w:styleId="ListParagraph">
    <w:name w:val="List Paragraph"/>
    <w:basedOn w:val="Normal"/>
    <w:uiPriority w:val="34"/>
    <w:qFormat/>
    <w:rsid w:val="001646A8"/>
    <w:pPr>
      <w:ind w:left="720"/>
      <w:contextualSpacing/>
    </w:pPr>
  </w:style>
  <w:style w:type="character" w:styleId="PlaceholderText">
    <w:name w:val="Placeholder Text"/>
    <w:basedOn w:val="DefaultParagraphFont"/>
    <w:uiPriority w:val="99"/>
    <w:semiHidden/>
    <w:rsid w:val="00C163FB"/>
    <w:rPr>
      <w:color w:val="808080"/>
    </w:rPr>
  </w:style>
  <w:style w:type="paragraph" w:styleId="Header">
    <w:name w:val="header"/>
    <w:basedOn w:val="Normal"/>
    <w:link w:val="HeaderChar"/>
    <w:uiPriority w:val="99"/>
    <w:unhideWhenUsed/>
    <w:rsid w:val="00E27370"/>
    <w:pPr>
      <w:tabs>
        <w:tab w:val="center" w:pos="4680"/>
        <w:tab w:val="right" w:pos="9360"/>
      </w:tabs>
    </w:pPr>
  </w:style>
  <w:style w:type="character" w:customStyle="1" w:styleId="HeaderChar">
    <w:name w:val="Header Char"/>
    <w:basedOn w:val="DefaultParagraphFont"/>
    <w:link w:val="Header"/>
    <w:uiPriority w:val="99"/>
    <w:rsid w:val="00E27370"/>
    <w:rPr>
      <w:rFonts w:ascii="Times New Roman" w:eastAsia="Times New Roman" w:hAnsi="Times New Roman" w:cs="Times New Roman"/>
    </w:rPr>
  </w:style>
  <w:style w:type="paragraph" w:styleId="Footer">
    <w:name w:val="footer"/>
    <w:basedOn w:val="Normal"/>
    <w:link w:val="FooterChar"/>
    <w:uiPriority w:val="99"/>
    <w:unhideWhenUsed/>
    <w:rsid w:val="00E27370"/>
    <w:pPr>
      <w:tabs>
        <w:tab w:val="center" w:pos="4680"/>
        <w:tab w:val="right" w:pos="9360"/>
      </w:tabs>
    </w:pPr>
  </w:style>
  <w:style w:type="character" w:customStyle="1" w:styleId="FooterChar">
    <w:name w:val="Footer Char"/>
    <w:basedOn w:val="DefaultParagraphFont"/>
    <w:link w:val="Footer"/>
    <w:uiPriority w:val="99"/>
    <w:rsid w:val="00E273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375">
      <w:bodyDiv w:val="1"/>
      <w:marLeft w:val="0"/>
      <w:marRight w:val="0"/>
      <w:marTop w:val="0"/>
      <w:marBottom w:val="0"/>
      <w:divBdr>
        <w:top w:val="none" w:sz="0" w:space="0" w:color="auto"/>
        <w:left w:val="none" w:sz="0" w:space="0" w:color="auto"/>
        <w:bottom w:val="none" w:sz="0" w:space="0" w:color="auto"/>
        <w:right w:val="none" w:sz="0" w:space="0" w:color="auto"/>
      </w:divBdr>
    </w:div>
    <w:div w:id="192158859">
      <w:bodyDiv w:val="1"/>
      <w:marLeft w:val="0"/>
      <w:marRight w:val="0"/>
      <w:marTop w:val="0"/>
      <w:marBottom w:val="0"/>
      <w:divBdr>
        <w:top w:val="none" w:sz="0" w:space="0" w:color="auto"/>
        <w:left w:val="none" w:sz="0" w:space="0" w:color="auto"/>
        <w:bottom w:val="none" w:sz="0" w:space="0" w:color="auto"/>
        <w:right w:val="none" w:sz="0" w:space="0" w:color="auto"/>
      </w:divBdr>
    </w:div>
    <w:div w:id="288586179">
      <w:bodyDiv w:val="1"/>
      <w:marLeft w:val="0"/>
      <w:marRight w:val="0"/>
      <w:marTop w:val="0"/>
      <w:marBottom w:val="0"/>
      <w:divBdr>
        <w:top w:val="none" w:sz="0" w:space="0" w:color="auto"/>
        <w:left w:val="none" w:sz="0" w:space="0" w:color="auto"/>
        <w:bottom w:val="none" w:sz="0" w:space="0" w:color="auto"/>
        <w:right w:val="none" w:sz="0" w:space="0" w:color="auto"/>
      </w:divBdr>
    </w:div>
    <w:div w:id="307788203">
      <w:bodyDiv w:val="1"/>
      <w:marLeft w:val="0"/>
      <w:marRight w:val="0"/>
      <w:marTop w:val="0"/>
      <w:marBottom w:val="0"/>
      <w:divBdr>
        <w:top w:val="none" w:sz="0" w:space="0" w:color="auto"/>
        <w:left w:val="none" w:sz="0" w:space="0" w:color="auto"/>
        <w:bottom w:val="none" w:sz="0" w:space="0" w:color="auto"/>
        <w:right w:val="none" w:sz="0" w:space="0" w:color="auto"/>
      </w:divBdr>
    </w:div>
    <w:div w:id="442195546">
      <w:bodyDiv w:val="1"/>
      <w:marLeft w:val="0"/>
      <w:marRight w:val="0"/>
      <w:marTop w:val="0"/>
      <w:marBottom w:val="0"/>
      <w:divBdr>
        <w:top w:val="none" w:sz="0" w:space="0" w:color="auto"/>
        <w:left w:val="none" w:sz="0" w:space="0" w:color="auto"/>
        <w:bottom w:val="none" w:sz="0" w:space="0" w:color="auto"/>
        <w:right w:val="none" w:sz="0" w:space="0" w:color="auto"/>
      </w:divBdr>
    </w:div>
    <w:div w:id="452987942">
      <w:bodyDiv w:val="1"/>
      <w:marLeft w:val="0"/>
      <w:marRight w:val="0"/>
      <w:marTop w:val="0"/>
      <w:marBottom w:val="0"/>
      <w:divBdr>
        <w:top w:val="none" w:sz="0" w:space="0" w:color="auto"/>
        <w:left w:val="none" w:sz="0" w:space="0" w:color="auto"/>
        <w:bottom w:val="none" w:sz="0" w:space="0" w:color="auto"/>
        <w:right w:val="none" w:sz="0" w:space="0" w:color="auto"/>
      </w:divBdr>
    </w:div>
    <w:div w:id="564798228">
      <w:bodyDiv w:val="1"/>
      <w:marLeft w:val="0"/>
      <w:marRight w:val="0"/>
      <w:marTop w:val="0"/>
      <w:marBottom w:val="0"/>
      <w:divBdr>
        <w:top w:val="none" w:sz="0" w:space="0" w:color="auto"/>
        <w:left w:val="none" w:sz="0" w:space="0" w:color="auto"/>
        <w:bottom w:val="none" w:sz="0" w:space="0" w:color="auto"/>
        <w:right w:val="none" w:sz="0" w:space="0" w:color="auto"/>
      </w:divBdr>
      <w:divsChild>
        <w:div w:id="751778332">
          <w:marLeft w:val="0"/>
          <w:marRight w:val="0"/>
          <w:marTop w:val="0"/>
          <w:marBottom w:val="0"/>
          <w:divBdr>
            <w:top w:val="none" w:sz="0" w:space="0" w:color="auto"/>
            <w:left w:val="none" w:sz="0" w:space="0" w:color="auto"/>
            <w:bottom w:val="none" w:sz="0" w:space="0" w:color="auto"/>
            <w:right w:val="none" w:sz="0" w:space="0" w:color="auto"/>
          </w:divBdr>
        </w:div>
      </w:divsChild>
    </w:div>
    <w:div w:id="695272532">
      <w:bodyDiv w:val="1"/>
      <w:marLeft w:val="0"/>
      <w:marRight w:val="0"/>
      <w:marTop w:val="0"/>
      <w:marBottom w:val="0"/>
      <w:divBdr>
        <w:top w:val="none" w:sz="0" w:space="0" w:color="auto"/>
        <w:left w:val="none" w:sz="0" w:space="0" w:color="auto"/>
        <w:bottom w:val="none" w:sz="0" w:space="0" w:color="auto"/>
        <w:right w:val="none" w:sz="0" w:space="0" w:color="auto"/>
      </w:divBdr>
      <w:divsChild>
        <w:div w:id="1682508698">
          <w:marLeft w:val="0"/>
          <w:marRight w:val="0"/>
          <w:marTop w:val="0"/>
          <w:marBottom w:val="0"/>
          <w:divBdr>
            <w:top w:val="none" w:sz="0" w:space="0" w:color="auto"/>
            <w:left w:val="none" w:sz="0" w:space="0" w:color="auto"/>
            <w:bottom w:val="none" w:sz="0" w:space="0" w:color="auto"/>
            <w:right w:val="none" w:sz="0" w:space="0" w:color="auto"/>
          </w:divBdr>
        </w:div>
      </w:divsChild>
    </w:div>
    <w:div w:id="698622969">
      <w:bodyDiv w:val="1"/>
      <w:marLeft w:val="0"/>
      <w:marRight w:val="0"/>
      <w:marTop w:val="0"/>
      <w:marBottom w:val="0"/>
      <w:divBdr>
        <w:top w:val="none" w:sz="0" w:space="0" w:color="auto"/>
        <w:left w:val="none" w:sz="0" w:space="0" w:color="auto"/>
        <w:bottom w:val="none" w:sz="0" w:space="0" w:color="auto"/>
        <w:right w:val="none" w:sz="0" w:space="0" w:color="auto"/>
      </w:divBdr>
    </w:div>
    <w:div w:id="768164190">
      <w:bodyDiv w:val="1"/>
      <w:marLeft w:val="0"/>
      <w:marRight w:val="0"/>
      <w:marTop w:val="0"/>
      <w:marBottom w:val="0"/>
      <w:divBdr>
        <w:top w:val="none" w:sz="0" w:space="0" w:color="auto"/>
        <w:left w:val="none" w:sz="0" w:space="0" w:color="auto"/>
        <w:bottom w:val="none" w:sz="0" w:space="0" w:color="auto"/>
        <w:right w:val="none" w:sz="0" w:space="0" w:color="auto"/>
      </w:divBdr>
    </w:div>
    <w:div w:id="909383212">
      <w:bodyDiv w:val="1"/>
      <w:marLeft w:val="0"/>
      <w:marRight w:val="0"/>
      <w:marTop w:val="0"/>
      <w:marBottom w:val="0"/>
      <w:divBdr>
        <w:top w:val="none" w:sz="0" w:space="0" w:color="auto"/>
        <w:left w:val="none" w:sz="0" w:space="0" w:color="auto"/>
        <w:bottom w:val="none" w:sz="0" w:space="0" w:color="auto"/>
        <w:right w:val="none" w:sz="0" w:space="0" w:color="auto"/>
      </w:divBdr>
    </w:div>
    <w:div w:id="933709319">
      <w:bodyDiv w:val="1"/>
      <w:marLeft w:val="0"/>
      <w:marRight w:val="0"/>
      <w:marTop w:val="0"/>
      <w:marBottom w:val="0"/>
      <w:divBdr>
        <w:top w:val="none" w:sz="0" w:space="0" w:color="auto"/>
        <w:left w:val="none" w:sz="0" w:space="0" w:color="auto"/>
        <w:bottom w:val="none" w:sz="0" w:space="0" w:color="auto"/>
        <w:right w:val="none" w:sz="0" w:space="0" w:color="auto"/>
      </w:divBdr>
    </w:div>
    <w:div w:id="934559319">
      <w:bodyDiv w:val="1"/>
      <w:marLeft w:val="0"/>
      <w:marRight w:val="0"/>
      <w:marTop w:val="0"/>
      <w:marBottom w:val="0"/>
      <w:divBdr>
        <w:top w:val="none" w:sz="0" w:space="0" w:color="auto"/>
        <w:left w:val="none" w:sz="0" w:space="0" w:color="auto"/>
        <w:bottom w:val="none" w:sz="0" w:space="0" w:color="auto"/>
        <w:right w:val="none" w:sz="0" w:space="0" w:color="auto"/>
      </w:divBdr>
    </w:div>
    <w:div w:id="962881506">
      <w:bodyDiv w:val="1"/>
      <w:marLeft w:val="0"/>
      <w:marRight w:val="0"/>
      <w:marTop w:val="0"/>
      <w:marBottom w:val="0"/>
      <w:divBdr>
        <w:top w:val="none" w:sz="0" w:space="0" w:color="auto"/>
        <w:left w:val="none" w:sz="0" w:space="0" w:color="auto"/>
        <w:bottom w:val="none" w:sz="0" w:space="0" w:color="auto"/>
        <w:right w:val="none" w:sz="0" w:space="0" w:color="auto"/>
      </w:divBdr>
      <w:divsChild>
        <w:div w:id="674039801">
          <w:marLeft w:val="0"/>
          <w:marRight w:val="0"/>
          <w:marTop w:val="0"/>
          <w:marBottom w:val="0"/>
          <w:divBdr>
            <w:top w:val="none" w:sz="0" w:space="0" w:color="auto"/>
            <w:left w:val="none" w:sz="0" w:space="0" w:color="auto"/>
            <w:bottom w:val="none" w:sz="0" w:space="0" w:color="auto"/>
            <w:right w:val="none" w:sz="0" w:space="0" w:color="auto"/>
          </w:divBdr>
        </w:div>
      </w:divsChild>
    </w:div>
    <w:div w:id="1227106935">
      <w:bodyDiv w:val="1"/>
      <w:marLeft w:val="0"/>
      <w:marRight w:val="0"/>
      <w:marTop w:val="0"/>
      <w:marBottom w:val="0"/>
      <w:divBdr>
        <w:top w:val="none" w:sz="0" w:space="0" w:color="auto"/>
        <w:left w:val="none" w:sz="0" w:space="0" w:color="auto"/>
        <w:bottom w:val="none" w:sz="0" w:space="0" w:color="auto"/>
        <w:right w:val="none" w:sz="0" w:space="0" w:color="auto"/>
      </w:divBdr>
    </w:div>
    <w:div w:id="1351909140">
      <w:bodyDiv w:val="1"/>
      <w:marLeft w:val="0"/>
      <w:marRight w:val="0"/>
      <w:marTop w:val="0"/>
      <w:marBottom w:val="0"/>
      <w:divBdr>
        <w:top w:val="none" w:sz="0" w:space="0" w:color="auto"/>
        <w:left w:val="none" w:sz="0" w:space="0" w:color="auto"/>
        <w:bottom w:val="none" w:sz="0" w:space="0" w:color="auto"/>
        <w:right w:val="none" w:sz="0" w:space="0" w:color="auto"/>
      </w:divBdr>
    </w:div>
    <w:div w:id="1474325904">
      <w:bodyDiv w:val="1"/>
      <w:marLeft w:val="0"/>
      <w:marRight w:val="0"/>
      <w:marTop w:val="0"/>
      <w:marBottom w:val="0"/>
      <w:divBdr>
        <w:top w:val="none" w:sz="0" w:space="0" w:color="auto"/>
        <w:left w:val="none" w:sz="0" w:space="0" w:color="auto"/>
        <w:bottom w:val="none" w:sz="0" w:space="0" w:color="auto"/>
        <w:right w:val="none" w:sz="0" w:space="0" w:color="auto"/>
      </w:divBdr>
    </w:div>
    <w:div w:id="1486240148">
      <w:bodyDiv w:val="1"/>
      <w:marLeft w:val="0"/>
      <w:marRight w:val="0"/>
      <w:marTop w:val="0"/>
      <w:marBottom w:val="0"/>
      <w:divBdr>
        <w:top w:val="none" w:sz="0" w:space="0" w:color="auto"/>
        <w:left w:val="none" w:sz="0" w:space="0" w:color="auto"/>
        <w:bottom w:val="none" w:sz="0" w:space="0" w:color="auto"/>
        <w:right w:val="none" w:sz="0" w:space="0" w:color="auto"/>
      </w:divBdr>
    </w:div>
    <w:div w:id="1564414981">
      <w:bodyDiv w:val="1"/>
      <w:marLeft w:val="0"/>
      <w:marRight w:val="0"/>
      <w:marTop w:val="0"/>
      <w:marBottom w:val="0"/>
      <w:divBdr>
        <w:top w:val="none" w:sz="0" w:space="0" w:color="auto"/>
        <w:left w:val="none" w:sz="0" w:space="0" w:color="auto"/>
        <w:bottom w:val="none" w:sz="0" w:space="0" w:color="auto"/>
        <w:right w:val="none" w:sz="0" w:space="0" w:color="auto"/>
      </w:divBdr>
    </w:div>
    <w:div w:id="1715540201">
      <w:bodyDiv w:val="1"/>
      <w:marLeft w:val="0"/>
      <w:marRight w:val="0"/>
      <w:marTop w:val="0"/>
      <w:marBottom w:val="0"/>
      <w:divBdr>
        <w:top w:val="none" w:sz="0" w:space="0" w:color="auto"/>
        <w:left w:val="none" w:sz="0" w:space="0" w:color="auto"/>
        <w:bottom w:val="none" w:sz="0" w:space="0" w:color="auto"/>
        <w:right w:val="none" w:sz="0" w:space="0" w:color="auto"/>
      </w:divBdr>
    </w:div>
    <w:div w:id="1718503988">
      <w:bodyDiv w:val="1"/>
      <w:marLeft w:val="0"/>
      <w:marRight w:val="0"/>
      <w:marTop w:val="0"/>
      <w:marBottom w:val="0"/>
      <w:divBdr>
        <w:top w:val="none" w:sz="0" w:space="0" w:color="auto"/>
        <w:left w:val="none" w:sz="0" w:space="0" w:color="auto"/>
        <w:bottom w:val="none" w:sz="0" w:space="0" w:color="auto"/>
        <w:right w:val="none" w:sz="0" w:space="0" w:color="auto"/>
      </w:divBdr>
    </w:div>
    <w:div w:id="1746756126">
      <w:bodyDiv w:val="1"/>
      <w:marLeft w:val="0"/>
      <w:marRight w:val="0"/>
      <w:marTop w:val="0"/>
      <w:marBottom w:val="0"/>
      <w:divBdr>
        <w:top w:val="none" w:sz="0" w:space="0" w:color="auto"/>
        <w:left w:val="none" w:sz="0" w:space="0" w:color="auto"/>
        <w:bottom w:val="none" w:sz="0" w:space="0" w:color="auto"/>
        <w:right w:val="none" w:sz="0" w:space="0" w:color="auto"/>
      </w:divBdr>
    </w:div>
    <w:div w:id="1965235799">
      <w:bodyDiv w:val="1"/>
      <w:marLeft w:val="0"/>
      <w:marRight w:val="0"/>
      <w:marTop w:val="0"/>
      <w:marBottom w:val="0"/>
      <w:divBdr>
        <w:top w:val="none" w:sz="0" w:space="0" w:color="auto"/>
        <w:left w:val="none" w:sz="0" w:space="0" w:color="auto"/>
        <w:bottom w:val="none" w:sz="0" w:space="0" w:color="auto"/>
        <w:right w:val="none" w:sz="0" w:space="0" w:color="auto"/>
      </w:divBdr>
    </w:div>
    <w:div w:id="1999726844">
      <w:bodyDiv w:val="1"/>
      <w:marLeft w:val="0"/>
      <w:marRight w:val="0"/>
      <w:marTop w:val="0"/>
      <w:marBottom w:val="0"/>
      <w:divBdr>
        <w:top w:val="none" w:sz="0" w:space="0" w:color="auto"/>
        <w:left w:val="none" w:sz="0" w:space="0" w:color="auto"/>
        <w:bottom w:val="none" w:sz="0" w:space="0" w:color="auto"/>
        <w:right w:val="none" w:sz="0" w:space="0" w:color="auto"/>
      </w:divBdr>
    </w:div>
    <w:div w:id="209138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Sauvage</dc:creator>
  <cp:keywords/>
  <dc:description/>
  <cp:lastModifiedBy>Julian Sauvage</cp:lastModifiedBy>
  <cp:revision>14</cp:revision>
  <dcterms:created xsi:type="dcterms:W3CDTF">2022-04-03T00:40:00Z</dcterms:created>
  <dcterms:modified xsi:type="dcterms:W3CDTF">2022-04-04T12:09:00Z</dcterms:modified>
</cp:coreProperties>
</file>